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Project Manager Services</w:t>
      </w:r>
    </w:p>
    <w:p>
      <w:pPr>
        <w:pStyle w:val="BodyText"/>
      </w:pPr>
      <w:r>
        <w:t xml:space="preserve">Prepared for deployment in Russia Moscow</w:t>
      </w:r>
    </w:p>
    <w:p>
      <w:pPr>
        <w:pStyle w:val="BodyText"/>
      </w:pPr>
      <w:r>
        <w:t xml:space="preserve">Document Reference: QE-RM-2025-0472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QE-RM-2025-0472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Andrey Volkov, Senior Account Director</w:t>
            </w:r>
          </w:p>
        </w:tc>
      </w:tr>
      <w:tr>
        <w:tc>
          <w:tcPr/>
          <w:p>
            <w:pPr>
              <w:pStyle w:val="Compact"/>
              <w:jc w:val="left"/>
            </w:pPr>
            <w:r>
              <w:t xml:space="preserve">Client Name</w:t>
            </w:r>
          </w:p>
        </w:tc>
        <w:tc>
          <w:tcPr/>
          <w:p>
            <w:pPr>
              <w:pStyle w:val="Compact"/>
              <w:jc w:val="left"/>
            </w:pPr>
            <w:r>
              <w:t xml:space="preserve">StroyInvest Group LLC</w:t>
            </w:r>
          </w:p>
        </w:tc>
      </w:tr>
      <w:tr>
        <w:tc>
          <w:tcPr/>
          <w:p>
            <w:pPr>
              <w:pStyle w:val="Compact"/>
              <w:jc w:val="left"/>
            </w:pPr>
            <w:r>
              <w:t xml:space="preserve">Client Address</w:t>
            </w:r>
          </w:p>
        </w:tc>
        <w:tc>
          <w:tcPr/>
          <w:p>
            <w:pPr>
              <w:pStyle w:val="Compact"/>
              <w:jc w:val="left"/>
            </w:pPr>
            <w:r>
              <w:t xml:space="preserve">12 Tverskaya Street, Moscow, 125009, Russian Federation</w:t>
            </w:r>
          </w:p>
        </w:tc>
      </w:tr>
      <w:tr>
        <w:tc>
          <w:tcPr/>
          <w:p>
            <w:pPr>
              <w:pStyle w:val="Compact"/>
              <w:jc w:val="left"/>
            </w:pPr>
            <w:r>
              <w:t xml:space="preserve">Service Location</w:t>
            </w:r>
          </w:p>
        </w:tc>
        <w:tc>
          <w:tcPr/>
          <w:p>
            <w:pPr>
              <w:pStyle w:val="Compact"/>
              <w:jc w:val="left"/>
            </w:pPr>
            <w:r>
              <w:t xml:space="preserve">Russia Moscow – Central Business District</w:t>
            </w:r>
          </w:p>
        </w:tc>
      </w:tr>
      <w:tr>
        <w:tc>
          <w:tcPr/>
          <w:p>
            <w:pPr>
              <w:pStyle w:val="Compact"/>
              <w:jc w:val="left"/>
            </w:pPr>
            <w:r>
              <w:t xml:space="preserve">Engagement Period</w:t>
            </w:r>
          </w:p>
        </w:tc>
        <w:tc>
          <w:tcPr/>
          <w:p>
            <w:pPr>
              <w:pStyle w:val="Compact"/>
              <w:jc w:val="left"/>
            </w:pPr>
            <w:r>
              <w:t xml:space="preserve">12 months (01 September 2025 – 31 August 2026)</w:t>
            </w:r>
          </w:p>
        </w:tc>
      </w:tr>
    </w:tbl>
    <w:p>
      <w:pPr>
        <w:pStyle w:val="BodyText"/>
      </w:pPr>
      <w:r>
        <w:t xml:space="preserve">1. Purpose of This Quotation Estimate</w:t>
      </w:r>
    </w:p>
    <w:p>
      <w:pPr>
        <w:pStyle w:val="BodyText"/>
      </w:pPr>
      <w:r>
        <w:t xml:space="preserve">This Quotation Estimate is issued to formally present the cost structure, scope of deliverables, and commercial terms for the engagement of a dedicated</w:t>
      </w:r>
      <w:r>
        <w:t xml:space="preserve"> </w:t>
      </w:r>
      <w:r>
        <w:rPr>
          <w:bCs/>
          <w:b/>
        </w:rPr>
        <w:t xml:space="preserve">Project Manager</w:t>
      </w:r>
      <w:r>
        <w:t xml:space="preserve"> </w:t>
      </w:r>
      <w:r>
        <w:t xml:space="preserve">to be stationed and operational in</w:t>
      </w:r>
      <w:r>
        <w:t xml:space="preserve"> </w:t>
      </w:r>
      <w:r>
        <w:rPr>
          <w:bCs/>
          <w:b/>
        </w:rPr>
        <w:t xml:space="preserve">Russia Moscow</w:t>
      </w:r>
      <w:r>
        <w:t xml:space="preserve">. The Project Manager will oversee the full lifecycle of the client's infrastructure development programme, ensuring alignment with Russian federal construction regulations, local permitting requirements, and the specific operational standards of the Moscow metropolitan area. This document constitutes a binding commercial proposal upon written acceptance by the client and does not represent a final contract until both parties execute the definitive service agreement.</w:t>
      </w:r>
    </w:p>
    <w:p>
      <w:pPr>
        <w:pStyle w:val="BodyText"/>
      </w:pPr>
      <w:r>
        <w:t xml:space="preserve">2. Scope of Services – Project Manager Role</w:t>
      </w:r>
    </w:p>
    <w:p>
      <w:pPr>
        <w:pStyle w:val="BodyText"/>
      </w:pPr>
      <w:r>
        <w:t xml:space="preserve">The Project Manager engaged under this Quotation Estimate will be responsible for the following core functions within the Russia Moscow operational environment:</w:t>
      </w:r>
    </w:p>
    <w:p>
      <w:pPr>
        <w:numPr>
          <w:ilvl w:val="0"/>
          <w:numId w:val="1001"/>
        </w:numPr>
        <w:pStyle w:val="Compact"/>
      </w:pPr>
      <w:r>
        <w:rPr>
          <w:bCs/>
          <w:b/>
        </w:rPr>
        <w:t xml:space="preserve">Strategic Planning &amp; Scheduling:</w:t>
      </w:r>
      <w:r>
        <w:t xml:space="preserve"> </w:t>
      </w:r>
      <w:r>
        <w:t xml:space="preserve">Development and maintenance of master project schedules for all construction and development phases, incorporating Moscow-specific seasonal constraints (frost periods, municipal road-closure windows) and Russian federal holiday calendars.</w:t>
      </w:r>
    </w:p>
    <w:p>
      <w:pPr>
        <w:numPr>
          <w:ilvl w:val="0"/>
          <w:numId w:val="1001"/>
        </w:numPr>
        <w:pStyle w:val="Compact"/>
      </w:pPr>
      <w:r>
        <w:rPr>
          <w:bCs/>
          <w:b/>
        </w:rPr>
        <w:t xml:space="preserve">Stakeholder Coordination:</w:t>
      </w:r>
      <w:r>
        <w:t xml:space="preserve"> </w:t>
      </w:r>
      <w:r>
        <w:t xml:space="preserve">Daily liaison with Moscow City Government departments (MOSGorStroy, GIPRN), local utility providers, and regulatory bodies to secure and maintain all necessary permits, approvals, and compliance certifications.</w:t>
      </w:r>
    </w:p>
    <w:p>
      <w:pPr>
        <w:numPr>
          <w:ilvl w:val="0"/>
          <w:numId w:val="1001"/>
        </w:numPr>
        <w:pStyle w:val="Compact"/>
      </w:pPr>
      <w:r>
        <w:rPr>
          <w:bCs/>
          <w:b/>
        </w:rPr>
        <w:t xml:space="preserve">Budget &amp; Cost Control:</w:t>
      </w:r>
      <w:r>
        <w:t xml:space="preserve"> </w:t>
      </w:r>
      <w:r>
        <w:t xml:space="preserve">Management of the project budget in Russian Rubles (RUB) with monthly variance reporting, procurement oversight, and vendor contract administration compliant with 44-FZ and 223-FZ federal procurement legislation.</w:t>
      </w:r>
    </w:p>
    <w:p>
      <w:pPr>
        <w:numPr>
          <w:ilvl w:val="0"/>
          <w:numId w:val="1001"/>
        </w:numPr>
        <w:pStyle w:val="Compact"/>
      </w:pPr>
      <w:r>
        <w:rPr>
          <w:bCs/>
          <w:b/>
        </w:rPr>
        <w:t xml:space="preserve">Quality Assurance &amp; Risk Management:</w:t>
      </w:r>
      <w:r>
        <w:t xml:space="preserve"> </w:t>
      </w:r>
      <w:r>
        <w:t xml:space="preserve">Implementation of QA/QC protocols aligned with GOST standards, identification and mitigation of project risks specific to the Russia Moscow construction market, and preparation of risk registers reviewed bi-weekly.</w:t>
      </w:r>
    </w:p>
    <w:p>
      <w:pPr>
        <w:numPr>
          <w:ilvl w:val="0"/>
          <w:numId w:val="1001"/>
        </w:numPr>
        <w:pStyle w:val="Compact"/>
      </w:pPr>
      <w:r>
        <w:rPr>
          <w:bCs/>
          <w:b/>
        </w:rPr>
        <w:t xml:space="preserve">Team Leadership:</w:t>
      </w:r>
      <w:r>
        <w:t xml:space="preserve"> </w:t>
      </w:r>
      <w:r>
        <w:t xml:space="preserve">Direct supervision of a cross-functional team of up to 45 personnel, including coordination with subcontractors operating within the Moscow region and adjacent oblasts.</w:t>
      </w:r>
    </w:p>
    <w:p>
      <w:pPr>
        <w:numPr>
          <w:ilvl w:val="0"/>
          <w:numId w:val="1001"/>
        </w:numPr>
        <w:pStyle w:val="Compact"/>
      </w:pPr>
      <w:r>
        <w:rPr>
          <w:bCs/>
          <w:b/>
        </w:rPr>
        <w:t xml:space="preserve">Reporting &amp; Documentation:</w:t>
      </w:r>
      <w:r>
        <w:t xml:space="preserve"> </w:t>
      </w:r>
      <w:r>
        <w:t xml:space="preserve">Production of weekly progress reports, monthly executive summaries, and quarterly performance reviews in both Russian and English to satisfy the client's dual-language reporting requirements.</w:t>
      </w:r>
    </w:p>
    <w:p>
      <w:pPr>
        <w:pStyle w:val="FirstParagraph"/>
      </w:pPr>
      <w:r>
        <w:t xml:space="preserve">3. Quotation Estimate –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Senior Project Manager – Monthly Professional Fee (includes salary, social contributions per Russian Labour Code, and professional indemnity insurance)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Project Manager Dedicated Office Space – Moscow CBD (furnished, with IT infrastructure, secure document storage, and 24/7 access)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3</w:t>
            </w:r>
          </w:p>
        </w:tc>
        <w:tc>
          <w:tcPr/>
          <w:p>
            <w:pPr>
              <w:pStyle w:val="Compact"/>
              <w:jc w:val="left"/>
            </w:pPr>
            <w:r>
              <w:t xml:space="preserve">Travel &amp; Site Access – Daily commuting, inter-district site visits within Moscow and Moscow Oblast, and up to 4 business trips per quarter to regional project sites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78,000</w:t>
            </w:r>
          </w:p>
        </w:tc>
        <w:tc>
          <w:tcPr/>
          <w:p>
            <w:pPr>
              <w:pStyle w:val="Compact"/>
              <w:jc w:val="left"/>
            </w:pPr>
            <w:r>
              <w:t xml:space="preserve">936,000</w:t>
            </w:r>
          </w:p>
        </w:tc>
      </w:tr>
      <w:tr>
        <w:tc>
          <w:tcPr/>
          <w:p>
            <w:pPr>
              <w:pStyle w:val="Compact"/>
              <w:jc w:val="left"/>
            </w:pPr>
            <w:r>
              <w:t xml:space="preserve">4</w:t>
            </w:r>
          </w:p>
        </w:tc>
        <w:tc>
          <w:tcPr/>
          <w:p>
            <w:pPr>
              <w:pStyle w:val="Compact"/>
              <w:jc w:val="left"/>
            </w:pPr>
            <w:r>
              <w:t xml:space="preserve">Software &amp; Licensing – Project management tools (MS Project, Primavera P6, AutoCAD), Russian-language regulatory databases, and secure communication platforms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Regulatory Compliance &amp; Permitting Support – Administrative fees, translation services (RU/EN), and legal consultation for Moscow municipal and federal permits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Contingency &amp; Risk Reserve (8% of subtotal) – Allocated for unforeseen regulatory changes, currency fluctuation buffers, and emergency site interventions in Russia Moscow</w:t>
            </w:r>
          </w:p>
        </w:tc>
        <w:tc>
          <w:tcPr/>
          <w:p>
            <w:pPr>
              <w:pStyle w:val="Compact"/>
              <w:jc w:val="left"/>
            </w:pPr>
            <w:r>
              <w:t xml:space="preserve">Lot</w:t>
            </w:r>
          </w:p>
        </w:tc>
        <w:tc>
          <w:tcPr/>
          <w:p>
            <w:pPr>
              <w:pStyle w:val="Compact"/>
              <w:jc w:val="left"/>
            </w:pPr>
            <w:r>
              <w:t xml:space="preserve">1</w:t>
            </w:r>
          </w:p>
        </w:tc>
        <w:tc>
          <w:tcPr/>
          <w:p>
            <w:pPr>
              <w:pStyle w:val="Compact"/>
              <w:jc w:val="left"/>
            </w:pPr>
            <w:r>
              <w:t xml:space="preserve">832,800</w:t>
            </w:r>
          </w:p>
        </w:tc>
        <w:tc>
          <w:tcPr/>
          <w:p>
            <w:pPr>
              <w:pStyle w:val="Compact"/>
              <w:jc w:val="left"/>
            </w:pPr>
            <w:r>
              <w:t xml:space="preserve">832,800</w:t>
            </w:r>
          </w:p>
        </w:tc>
      </w:tr>
      <w:tr>
        <w:tc>
          <w:tcPr>
            <w:gridSpan w:val="5"/>
          </w:tcPr>
          <w:p>
            <w:pPr>
              <w:pStyle w:val="Compact"/>
              <w:jc w:val="left"/>
            </w:pPr>
            <w:r>
              <w:t xml:space="preserve">Subtotal (RUB)</w:t>
            </w:r>
          </w:p>
        </w:tc>
        <w:tc>
          <w:tcPr/>
          <w:p>
            <w:pPr>
              <w:pStyle w:val="Compact"/>
              <w:jc w:val="left"/>
            </w:pPr>
            <w:r>
              <w:t xml:space="preserve">11,212,800</w:t>
            </w:r>
          </w:p>
        </w:tc>
      </w:tr>
      <w:tr>
        <w:tc>
          <w:tcPr>
            <w:gridSpan w:val="5"/>
          </w:tcPr>
          <w:p>
            <w:pPr>
              <w:pStyle w:val="Compact"/>
              <w:jc w:val="left"/>
            </w:pPr>
            <w:r>
              <w:t xml:space="preserve">VAT 20% (per Russian Tax Code, Article 164)</w:t>
            </w:r>
          </w:p>
        </w:tc>
        <w:tc>
          <w:tcPr/>
          <w:p>
            <w:pPr>
              <w:pStyle w:val="Compact"/>
              <w:jc w:val="left"/>
            </w:pPr>
            <w:r>
              <w:t xml:space="preserve">2,242,560</w:t>
            </w:r>
          </w:p>
        </w:tc>
      </w:tr>
      <w:tr>
        <w:tc>
          <w:tcPr>
            <w:gridSpan w:val="5"/>
          </w:tcPr>
          <w:p>
            <w:pPr>
              <w:pStyle w:val="Compact"/>
              <w:jc w:val="left"/>
            </w:pPr>
            <w:r>
              <w:rPr>
                <w:bCs/>
                <w:b/>
              </w:rPr>
              <w:t xml:space="preserve">TOTAL QUOTATION ESTIMATE (RUB)</w:t>
            </w:r>
          </w:p>
        </w:tc>
        <w:tc>
          <w:tcPr/>
          <w:p>
            <w:pPr>
              <w:pStyle w:val="Compact"/>
              <w:jc w:val="left"/>
            </w:pPr>
            <w:r>
              <w:rPr>
                <w:bCs/>
                <w:b/>
              </w:rPr>
              <w:t xml:space="preserve">13,455,360</w:t>
            </w:r>
          </w:p>
        </w:tc>
      </w:tr>
    </w:tbl>
    <w:p>
      <w:pPr>
        <w:pStyle w:val="BodyText"/>
      </w:pPr>
      <w:r>
        <w:t xml:space="preserve">4. Payment Terms</w:t>
      </w:r>
    </w:p>
    <w:p>
      <w:pPr>
        <w:pStyle w:val="BodyText"/>
      </w:pPr>
      <w:r>
        <w:t xml:space="preserve">Payment against this Quotation Estimate shall be made in Russian Rubles (RUB) via bank transfer to the account designated in the definitive service agreement. The payment schedule is structured as follows: 30% advance payment upon contract execution, 60% in equal monthly instalments (5% per month) aligned with the Project Manager's monthly deliverable submissions, and 10% retention released upon successful completion of the 12-month engagement period and final handover documentation. All payments are subject to a 15-day payment window from the date of invoice issuance. Late payments shall accrue interest at the rate of 0.05% per calendar day in accordance with Article 317.1 of the Russian Civil Code.</w:t>
      </w:r>
    </w:p>
    <w:p>
      <w:pPr>
        <w:pStyle w:val="BodyText"/>
      </w:pPr>
      <w:r>
        <w:t xml:space="preserve">5. Terms &amp; Conditions</w:t>
      </w:r>
    </w:p>
    <w:p>
      <w:pPr>
        <w:numPr>
          <w:ilvl w:val="0"/>
          <w:numId w:val="1002"/>
        </w:numPr>
        <w:pStyle w:val="Compact"/>
      </w:pPr>
      <w:r>
        <w:t xml:space="preserve">This Quotation Estimate is valid for 30 calendar days from the date of issue. Beyond this period, all rates, particularly those tied to the Russia Moscow labour market and construction sector indices, are subject to revision.</w:t>
      </w:r>
    </w:p>
    <w:p>
      <w:pPr>
        <w:numPr>
          <w:ilvl w:val="0"/>
          <w:numId w:val="1002"/>
        </w:numPr>
        <w:pStyle w:val="Compact"/>
      </w:pPr>
      <w:r>
        <w:t xml:space="preserve">The Project Manager shall be engaged under a fixed-term employment contract governed by the Russian Federation Labour Code (Trudovoy Kodeks RF), with all statutory social insurance contributions (pension, medical, social) borne by the service provider as reflected in the unit rates above.</w:t>
      </w:r>
    </w:p>
    <w:p>
      <w:pPr>
        <w:numPr>
          <w:ilvl w:val="0"/>
          <w:numId w:val="1002"/>
        </w:numPr>
        <w:pStyle w:val="Compact"/>
      </w:pPr>
      <w:r>
        <w:t xml:space="preserve">All work performed by the Project Manager in Russia Moscow shall comply with applicable federal laws, Moscow City Charter provisions, and industry-specific GOST standards. The service provider warrants full regulatory compliance throughout the engagement period.</w:t>
      </w:r>
    </w:p>
    <w:p>
      <w:pPr>
        <w:numPr>
          <w:ilvl w:val="0"/>
          <w:numId w:val="1002"/>
        </w:numPr>
        <w:pStyle w:val="Compact"/>
      </w:pPr>
      <w:r>
        <w:t xml:space="preserve">Intellectual property generated during the engagement, including project plans, risk assessments, and reporting templates, shall vest in the client upon full payment. The Project Manager's pre-existing methodologies and proprietary tools remain the property of the service provider.</w:t>
      </w:r>
    </w:p>
    <w:p>
      <w:pPr>
        <w:numPr>
          <w:ilvl w:val="0"/>
          <w:numId w:val="1002"/>
        </w:numPr>
        <w:pStyle w:val="Compact"/>
      </w:pPr>
      <w:r>
        <w:t xml:space="preserve">Either party may terminate the engagement with 60 days' written notice. In the event of early termination, the client shall pay for all services rendered up to the termination date plus a 10% administrative closure fee.</w:t>
      </w:r>
    </w:p>
    <w:p>
      <w:pPr>
        <w:numPr>
          <w:ilvl w:val="0"/>
          <w:numId w:val="1002"/>
        </w:numPr>
        <w:pStyle w:val="Compact"/>
      </w:pPr>
      <w:r>
        <w:t xml:space="preserve">Disputes arising from this Quotation Estimate or the subsequent service agreement shall be resolved through arbitration at the International Commercial Arbitration Court at the Chamber of Commerce and Industry of the Russian Federation (Moscow), in accordance with its applicable rules.</w:t>
      </w:r>
    </w:p>
    <w:p>
      <w:pPr>
        <w:numPr>
          <w:ilvl w:val="0"/>
          <w:numId w:val="1002"/>
        </w:numPr>
        <w:pStyle w:val="Compact"/>
      </w:pPr>
      <w:r>
        <w:t xml:space="preserve">This Quotation Estimate does not constitute a guarantee of project completion dates. The Project Manager shall exercise reasonable professional diligence, but schedule adherence is subject to factors beyond the Project Manager's control, including government permitting timelines in Russia Moscow and force majeure events.</w:t>
      </w:r>
    </w:p>
    <w:p>
      <w:pPr>
        <w:pStyle w:val="FirstParagraph"/>
      </w:pPr>
      <w:r>
        <w:t xml:space="preserve">6. Acceptance &amp; Authorisation</w:t>
      </w:r>
    </w:p>
    <w:p>
      <w:pPr>
        <w:pStyle w:val="BodyText"/>
      </w:pPr>
      <w:r>
        <w:t xml:space="preserve">By signing below, the client acknowledges receipt of this Quotation Estimate for Project Manager services in Russia Moscow and agrees to the terms, conditions, and pricing set forth herein. This acceptance shall trigger the preparation of the definitive service agreement within 10 business days.</w:t>
      </w:r>
    </w:p>
    <w:p>
      <w:pPr>
        <w:pStyle w:val="BodyText"/>
      </w:pPr>
      <w:r>
        <w:rPr>
          <w:bCs/>
          <w:b/>
        </w:rPr>
        <w:t xml:space="preserve">For and on behalf of the Service Provider</w:t>
      </w:r>
      <w:r>
        <w:br/>
      </w:r>
      <w:r>
        <w:br/>
      </w:r>
      <w:r>
        <w:t xml:space="preserve">Name: Andrey Volkov</w:t>
      </w:r>
      <w:r>
        <w:br/>
      </w:r>
      <w:r>
        <w:t xml:space="preserve">Title: Senior Account Director</w:t>
      </w:r>
      <w:r>
        <w:br/>
      </w:r>
      <w:r>
        <w:t xml:space="preserve">Signature: _________________________</w:t>
      </w:r>
      <w:r>
        <w:br/>
      </w:r>
      <w:r>
        <w:t xml:space="preserve">Date: _________________________</w:t>
      </w:r>
    </w:p>
    <w:p>
      <w:pPr>
        <w:pStyle w:val="BodyText"/>
      </w:pPr>
      <w:r>
        <w:rPr>
          <w:bCs/>
          <w:b/>
        </w:rPr>
        <w:t xml:space="preserve">For and on behalf of the Client (StroyInvest Group LLC)</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QE-RM-2025-0472 | Project Manager Services | Russia Moscow | Page 1 of 1</w:t>
      </w:r>
    </w:p>
    <w:p>
      <w:pPr>
        <w:pStyle w:val="BodyText"/>
      </w:pPr>
      <w:r>
        <w:t xml:space="preserve">This document is confidential and intended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Russia Moscow</dc:title>
  <dc:creator/>
  <dc:language>en</dc:language>
  <cp:keywords/>
  <dcterms:created xsi:type="dcterms:W3CDTF">2026-10-10T01:06:01Z</dcterms:created>
  <dcterms:modified xsi:type="dcterms:W3CDTF">2026-10-10T01:06:01Z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