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Prepared for: Russia Saint Petersburg Region</w:t>
      </w:r>
    </w:p>
    <w:p>
      <w:pPr>
        <w:pStyle w:val="BodyText"/>
      </w:pPr>
      <w:r>
        <w:t xml:space="preserve">Document Reference: QTE-RSP-2025-0047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Northwind Consulting Group, LLC</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Russia Saint Petersburg, Leningrad Oblast, Russian Federation</w:t>
            </w:r>
          </w:p>
        </w:tc>
      </w:tr>
      <w:tr>
        <w:tc>
          <w:tcPr/>
          <w:p>
            <w:pPr>
              <w:pStyle w:val="Compact"/>
              <w:jc w:val="left"/>
            </w:pPr>
            <w:r>
              <w:t xml:space="preserve">Currency</w:t>
            </w:r>
          </w:p>
        </w:tc>
        <w:tc>
          <w:tcPr/>
          <w:p>
            <w:pPr>
              <w:pStyle w:val="Compact"/>
              <w:jc w:val="left"/>
            </w:pPr>
            <w:r>
              <w:t xml:space="preserve">Russian Ruble (RUB) / US Dollar (USD) equivalent</w:t>
            </w:r>
          </w:p>
        </w:tc>
      </w:tr>
      <w:tr>
        <w:tc>
          <w:tcPr/>
          <w:p>
            <w:pPr>
              <w:pStyle w:val="Compact"/>
              <w:jc w:val="left"/>
            </w:pPr>
            <w:r>
              <w:t xml:space="preserve">Engagement Duration</w:t>
            </w:r>
          </w:p>
        </w:tc>
        <w:tc>
          <w:tcPr/>
          <w:p>
            <w:pPr>
              <w:pStyle w:val="Compact"/>
              <w:jc w:val="left"/>
            </w:pPr>
            <w:r>
              <w:t xml:space="preserve">12 months (renewable)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Northwind Consulting Group, LLC to provide comprehensive</w:t>
      </w:r>
      <w:r>
        <w:t xml:space="preserve"> </w:t>
      </w:r>
      <w:r>
        <w:t xml:space="preserve">Project Manager</w:t>
      </w:r>
      <w:r>
        <w:t xml:space="preserve"> </w:t>
      </w:r>
      <w:r>
        <w:t xml:space="preserve">services tailored for operations within</w:t>
      </w:r>
      <w:r>
        <w:t xml:space="preserve"> </w:t>
      </w:r>
      <w:r>
        <w:t xml:space="preserve">Russia Saint Petersburg</w:t>
      </w:r>
      <w:r>
        <w:t xml:space="preserve">. The scope of this engagement encompasses the full lifecycle of project management delivery, including strategic planning, resource allocation, stakeholder coordination, risk mitigation, and performance reporting. This</w:t>
      </w:r>
      <w:r>
        <w:t xml:space="preserve"> </w:t>
      </w:r>
      <w:r>
        <w:t xml:space="preserve">Quotation Estimate</w:t>
      </w:r>
      <w:r>
        <w:t xml:space="preserve"> </w:t>
      </w:r>
      <w:r>
        <w:t xml:space="preserve">reflects current market rates for qualified</w:t>
      </w:r>
      <w:r>
        <w:t xml:space="preserve"> </w:t>
      </w:r>
      <w:r>
        <w:t xml:space="preserve">Project Manager</w:t>
      </w:r>
      <w:r>
        <w:t xml:space="preserve"> </w:t>
      </w:r>
      <w:r>
        <w:t xml:space="preserve">professionals operating in the</w:t>
      </w:r>
      <w:r>
        <w:t xml:space="preserve"> </w:t>
      </w:r>
      <w:r>
        <w:t xml:space="preserve">Russia Saint Petersburg</w:t>
      </w:r>
      <w:r>
        <w:t xml:space="preserve"> </w:t>
      </w:r>
      <w:r>
        <w:t xml:space="preserve">business environment, taking into account local labor regulations, tax obligations, and industry-specific requirements applicable to the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Project Manager</w:t>
      </w:r>
      <w:r>
        <w:t xml:space="preserve"> </w:t>
      </w:r>
      <w:r>
        <w:t xml:space="preserve">engagement for</w:t>
      </w:r>
      <w:r>
        <w:t xml:space="preserve"> </w:t>
      </w:r>
      <w:r>
        <w:t xml:space="preserve">Russia Saint Petersburg</w:t>
      </w:r>
      <w:r>
        <w:t xml:space="preserve"> </w:t>
      </w:r>
      <w:r>
        <w:t xml:space="preserve">includes the following deliverables and responsibilities: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(RUB/month)</w:t>
            </w:r>
          </w:p>
        </w:tc>
        <w:tc>
          <w:tcPr/>
          <w:p>
            <w:pPr>
              <w:pStyle w:val="Compact"/>
              <w:jc w:val="left"/>
            </w:pPr>
            <w:r>
              <w:t xml:space="preserve">Total (RUB)</w:t>
            </w:r>
          </w:p>
        </w:tc>
      </w:tr>
      <w:tr>
        <w:tc>
          <w:tcPr/>
          <w:p>
            <w:pPr>
              <w:pStyle w:val="Compact"/>
              <w:jc w:val="left"/>
            </w:pPr>
            <w:r>
              <w:t xml:space="preserve">1.1</w:t>
            </w:r>
          </w:p>
        </w:tc>
        <w:tc>
          <w:tcPr/>
          <w:p>
            <w:pPr>
              <w:pStyle w:val="Compact"/>
              <w:jc w:val="left"/>
            </w:pPr>
            <w:r>
              <w:t xml:space="preserve">Senior Project Manager – Full-time on-site engagement in Russia Saint Petersburg. Includes project charter development, work breakdown structure creation, and milestone planning.</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1.2</w:t>
            </w:r>
          </w:p>
        </w:tc>
        <w:tc>
          <w:tcPr/>
          <w:p>
            <w:pPr>
              <w:pStyle w:val="Compact"/>
              <w:jc w:val="left"/>
            </w:pPr>
            <w:r>
              <w:t xml:space="preserve">Project Manager – Cross-functional team coordination. Facilitation of daily stand-ups, weekly progress reviews, and monthly steering committee presentations for all Russia Saint Petersburg-based project teams.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1.3</w:t>
            </w:r>
          </w:p>
        </w:tc>
        <w:tc>
          <w:tcPr/>
          <w:p>
            <w:pPr>
              <w:pStyle w:val="Compact"/>
              <w:jc w:val="left"/>
            </w:pPr>
            <w:r>
              <w:t xml:space="preserve">Risk and Compliance Management. The Project Manager shall ensure full compliance with Russian Federation labor laws, data protection regulations (Federal Law 152-FZ), and local Saint Petersburg municipal requirements.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1.4</w:t>
            </w:r>
          </w:p>
        </w:tc>
        <w:tc>
          <w:tcPr/>
          <w:p>
            <w:pPr>
              <w:pStyle w:val="Compact"/>
              <w:jc w:val="left"/>
            </w:pPr>
            <w:r>
              <w:t xml:space="preserve">Stakeholder and Vendor Management. Coordination with local Russia Saint Petersburg suppliers, government agencies, and client representatives. Includes travel within the Saint Petersburg metropolitan area.</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1.5</w:t>
            </w:r>
          </w:p>
        </w:tc>
        <w:tc>
          <w:tcPr/>
          <w:p>
            <w:pPr>
              <w:pStyle w:val="Compact"/>
              <w:jc w:val="left"/>
            </w:pPr>
            <w:r>
              <w:t xml:space="preserve">Reporting and Documentation. Monthly project status reports, budget variance analysis, and end-of-project closure documentation in both Russian and English languages.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1.6</w:t>
            </w:r>
          </w:p>
        </w:tc>
        <w:tc>
          <w:tcPr/>
          <w:p>
            <w:pPr>
              <w:pStyle w:val="Compact"/>
              <w:jc w:val="left"/>
            </w:pPr>
            <w:r>
              <w:t xml:space="preserve">Project Management Software Licensing. Provision of enterprise-grade PM tools (MS Project, Jira, Confluence) for the Russia Saint Petersburg project team of up to 25 users.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1.7</w:t>
            </w:r>
          </w:p>
        </w:tc>
        <w:tc>
          <w:tcPr/>
          <w:p>
            <w:pPr>
              <w:pStyle w:val="Compact"/>
              <w:jc w:val="left"/>
            </w:pPr>
            <w:r>
              <w:t xml:space="preserve">Contingency and Change Management. Allocation for scope adjustments, emergency response coordination, and ad-hoc Project Manager support as required by the client in Russia Saint Petersburg.</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left"/>
            </w:pPr>
            <w:r>
              <w:t xml:space="preserve">TOTAL ESTIMATED COST (12-Month Engagement)</w:t>
            </w:r>
          </w:p>
        </w:tc>
        <w:tc>
          <w:tcPr/>
          <w:p>
            <w:pPr>
              <w:pStyle w:val="Compact"/>
              <w:jc w:val="left"/>
            </w:pPr>
            <w:r>
              <w:t xml:space="preserve">8,760,000 RUB</w:t>
            </w:r>
          </w:p>
        </w:tc>
      </w:tr>
    </w:tbl>
    <w:bookmarkEnd w:id="22"/>
    <w:bookmarkStart w:id="23" w:name="payment-terms-and-conditions"/>
    <w:p>
      <w:pPr>
        <w:pStyle w:val="Heading2"/>
      </w:pPr>
      <w:r>
        <w:t xml:space="preserve">3. Payment Terms and Conditions</w:t>
      </w:r>
    </w:p>
    <w:p>
      <w:pPr>
        <w:pStyle w:val="FirstParagraph"/>
      </w:pPr>
      <w:r>
        <w:rPr>
          <w:bCs/>
          <w:b/>
        </w:rPr>
        <w:t xml:space="preserve">3.1</w:t>
      </w:r>
      <w:r>
        <w:t xml:space="preserve"> </w:t>
      </w:r>
      <w:r>
        <w:t xml:space="preserve">Payment shall be made in monthly installments, due within 15 business days of invoice issuance. The first payment is due upon formal acceptance of this Quotation Estimate and execution of the master service agreement.</w:t>
      </w:r>
    </w:p>
    <w:p>
      <w:pPr>
        <w:pStyle w:val="BodyText"/>
      </w:pPr>
      <w:r>
        <w:rPr>
          <w:bCs/>
          <w:b/>
        </w:rPr>
        <w:t xml:space="preserve">3.2</w:t>
      </w:r>
      <w:r>
        <w:t xml:space="preserve"> </w:t>
      </w:r>
      <w:r>
        <w:t xml:space="preserve">All payments shall be processed in Russian Rubles (RUB) via bank transfer to the designated account of Northwind Consulting Group, LLC, registered in the Russian Federation. For international clients, USD equivalent payments may be arranged subject to applicable foreign exchange regulations of the Central Bank of Russia.</w:t>
      </w:r>
    </w:p>
    <w:p>
      <w:pPr>
        <w:pStyle w:val="BodyText"/>
      </w:pPr>
      <w:r>
        <w:rPr>
          <w:bCs/>
          <w:b/>
        </w:rPr>
        <w:t xml:space="preserve">3.3</w:t>
      </w:r>
      <w:r>
        <w:t xml:space="preserve"> </w:t>
      </w:r>
      <w:r>
        <w:t xml:space="preserve">A late payment penalty of 0.5% per calendar day shall apply to any outstanding balance exceeding the 15-day payment window, in accordance with standard commercial practice in Russia Saint Petersburg.</w:t>
      </w:r>
    </w:p>
    <w:p>
      <w:pPr>
        <w:pStyle w:val="BodyText"/>
      </w:pPr>
      <w:r>
        <w:rPr>
          <w:bCs/>
          <w:b/>
        </w:rPr>
        <w:t xml:space="preserve">3.4</w:t>
      </w:r>
      <w:r>
        <w:t xml:space="preserve"> </w:t>
      </w:r>
      <w:r>
        <w:t xml:space="preserve">This Quotation Estimate does not include Value Added Tax (VAT) at the standard Russian rate of 20%. VAT shall be added to the final invoice amount as required by the Federal Tax Service of the Russian Federation.</w:t>
      </w:r>
    </w:p>
    <w:p>
      <w:pPr>
        <w:pStyle w:val="BodyText"/>
      </w:pPr>
      <w:r>
        <w:rPr>
          <w:bCs/>
          <w:b/>
        </w:rPr>
        <w:t xml:space="preserve">3.5</w:t>
      </w:r>
      <w:r>
        <w:t xml:space="preserve"> </w:t>
      </w:r>
      <w:r>
        <w:t xml:space="preserve">Any change in scope exceeding 10% of the originally agreed deliverables shall require a formal change order and a revised Quotation Estimate prior to implementation.</w:t>
      </w:r>
    </w:p>
    <w:bookmarkEnd w:id="23"/>
    <w:bookmarkStart w:id="24" w:name="assumptions-and-exclusions"/>
    <w:p>
      <w:pPr>
        <w:pStyle w:val="Heading2"/>
      </w:pPr>
      <w:r>
        <w:t xml:space="preserve">4. Assumptions and Exclusions</w:t>
      </w:r>
    </w:p>
    <w:p>
      <w:pPr>
        <w:pStyle w:val="FirstParagraph"/>
      </w:pPr>
      <w:r>
        <w:rPr>
          <w:bCs/>
          <w:b/>
        </w:rPr>
        <w:t xml:space="preserve">Important Note:</w:t>
      </w:r>
      <w:r>
        <w:t xml:space="preserve"> </w:t>
      </w:r>
      <w:r>
        <w:t xml:space="preserve">This Quotation Estimate assumes that the client will provide a dedicated workspace for the Project Manager in Russia Saint Petersburg, including access to necessary IT infrastructure, telecommunications, and project documentation. The rates quoted are based on the current economic conditions in the Russia Saint Petersburg region as of June 2025 and are subject to adjustment in the event of significant changes in the Consumer Price Index (CPI) published by Rosstat.</w:t>
      </w:r>
    </w:p>
    <w:p>
      <w:pPr>
        <w:pStyle w:val="BodyText"/>
      </w:pPr>
      <w:r>
        <w:t xml:space="preserve">The following items are explicitly excluded from this Quotation Estimate: recruitment and onboarding of additional project team members beyond the Project Manager role, construction or physical infrastructure costs, legal representation before Russian courts, and any penalties or fines arising from client non-compliance with local regulations in Russia Saint Petersburg.</w:t>
      </w:r>
    </w:p>
    <w:bookmarkEnd w:id="24"/>
    <w:bookmarkStart w:id="25" w:name="acceptance-and-validity"/>
    <w:p>
      <w:pPr>
        <w:pStyle w:val="Heading2"/>
      </w:pPr>
      <w:r>
        <w:t xml:space="preserve">5. Acceptance and Validity</w:t>
      </w:r>
    </w:p>
    <w:p>
      <w:pPr>
        <w:pStyle w:val="FirstParagraph"/>
      </w:pPr>
      <w:r>
        <w:t xml:space="preserve">This Quotation Estimate is valid for a period of thirty (30) calendar days from the date of issue. Acceptance of this document constitutes a binding commitment to the terms outlined herein. The Project Manager services for Russia Saint Petersburg shall commence no earlier than the date of full execution of the master service agreement by both parties. Northwind Consulting Group, LLC reserves the right to withdraw this Quotation Estimate without prior notice if the client fails to confirm acceptance within the validity period.</w:t>
      </w:r>
    </w:p>
    <w:p>
      <w:pPr>
        <w:pStyle w:val="BodyText"/>
      </w:pPr>
      <w:r>
        <w:rPr>
          <w:bCs/>
          <w:b/>
        </w:rPr>
        <w:t xml:space="preserve">For and on behalf of Northwind Consulting Group, LLC</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the Client</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Company Seal:</w:t>
      </w:r>
    </w:p>
    <w:p>
      <w:pPr>
        <w:pStyle w:val="BodyText"/>
      </w:pPr>
      <w:r>
        <w:t xml:space="preserve">Northwind Consulting Group, LLC | 44 Nevsky Prospekt, Saint Petersburg, 191025, Russian Federation</w:t>
      </w:r>
    </w:p>
    <w:p>
      <w:pPr>
        <w:pStyle w:val="BodyText"/>
      </w:pPr>
      <w:r>
        <w:t xml:space="preserve">Registration No. 7811012345678 | INN: 7810123456 | OGRN: 1157812345678</w:t>
      </w:r>
    </w:p>
    <w:p>
      <w:pPr>
        <w:pStyle w:val="BodyText"/>
      </w:pPr>
      <w:r>
        <w:t xml:space="preserve">This Quotation Estimate is a confidential commercial document. Unauthorized reproduction or distribution is prohibited.</w:t>
      </w:r>
    </w:p>
    <w:p>
      <w:pPr>
        <w:pStyle w:val="BodyText"/>
      </w:pPr>
      <w:r>
        <w:t xml:space="preserve">Document generated on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Russia Saint Petersburg</dc:title>
  <dc:creator/>
  <dc:language>en</dc:language>
  <cp:keywords/>
  <dcterms:created xsi:type="dcterms:W3CDTF">2026-10-10T01:58:28Z</dcterms:created>
  <dcterms:modified xsi:type="dcterms:W3CDTF">2026-10-10T01:58:28Z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