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Project Manager Services — Saudi Arabia Riyadh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QTE-SAR-2025-0472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Al-Riyadh Professional Services Co. Ltd., Riyadh, Saudi Arabia</w:t>
            </w:r>
          </w:p>
        </w:tc>
      </w:tr>
      <w:tr>
        <w:tc>
          <w:tcPr/>
          <w:p>
            <w:pPr>
              <w:pStyle w:val="Compact"/>
              <w:jc w:val="left"/>
            </w:pPr>
            <w:r>
              <w:t xml:space="preserve">Prepared For:</w:t>
            </w:r>
          </w:p>
        </w:tc>
        <w:tc>
          <w:tcPr/>
          <w:p>
            <w:pPr>
              <w:pStyle w:val="Compact"/>
              <w:jc w:val="left"/>
            </w:pPr>
            <w:r>
              <w:t xml:space="preserve">[Client Name], [Client Company], Riyadh, Saudi Arabia</w:t>
            </w:r>
          </w:p>
        </w:tc>
      </w:tr>
      <w:tr>
        <w:tc>
          <w:tcPr/>
          <w:p>
            <w:pPr>
              <w:pStyle w:val="Compact"/>
              <w:jc w:val="left"/>
            </w:pPr>
            <w:r>
              <w:t xml:space="preserve">Project Location:</w:t>
            </w:r>
          </w:p>
        </w:tc>
        <w:tc>
          <w:tcPr/>
          <w:p>
            <w:pPr>
              <w:pStyle w:val="Compact"/>
              <w:jc w:val="left"/>
            </w:pPr>
            <w:r>
              <w:t xml:space="preserve">Riyadh, Saudi Arabia</w:t>
            </w:r>
          </w:p>
        </w:tc>
      </w:tr>
      <w:tr>
        <w:tc>
          <w:tcPr/>
          <w:p>
            <w:pPr>
              <w:pStyle w:val="Compact"/>
              <w:jc w:val="left"/>
            </w:pPr>
            <w:r>
              <w:t xml:space="preserve">Currency:</w:t>
            </w:r>
          </w:p>
        </w:tc>
        <w:tc>
          <w:tcPr/>
          <w:p>
            <w:pPr>
              <w:pStyle w:val="Compact"/>
              <w:jc w:val="left"/>
            </w:pPr>
            <w:r>
              <w:t xml:space="preserve">Saudi Riyal (SAR)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presented to [Client Name] for the engagement of a senior</w:t>
      </w:r>
      <w:r>
        <w:t xml:space="preserve"> </w:t>
      </w:r>
      <w:r>
        <w:t xml:space="preserve">Project Manager</w:t>
      </w:r>
      <w:r>
        <w:t xml:space="preserve"> </w:t>
      </w:r>
      <w:r>
        <w:t xml:space="preserve">to oversee and deliver a comprehensive construction and infrastructure development project located in</w:t>
      </w:r>
      <w:r>
        <w:t xml:space="preserve"> </w:t>
      </w:r>
      <w:r>
        <w:t xml:space="preserve">Saudi Arabia Riyadh</w:t>
      </w:r>
      <w:r>
        <w:t xml:space="preserve">. This document outlines the full scope of services, professional qualifications, deliverables, and associated costs for the Project Manager engagement. All pricing is quoted in Saudi Riyal (SAR) and is subject to the terms and conditions specified herein. This Quotation Estimate reflects current market rates for Project Manager services in the Riyadh metropolitan area and is aligned with the regulatory and operational standards of the Kingdom of Saudi Arabia.</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be responsible for the end-to-end management of the project in Saudi Arabia Riyadh. The scope of duties includes, but is not limited to, the following:</w:t>
      </w:r>
    </w:p>
    <w:p>
      <w:pPr>
        <w:numPr>
          <w:ilvl w:val="0"/>
          <w:numId w:val="1001"/>
        </w:numPr>
        <w:pStyle w:val="Compact"/>
      </w:pPr>
      <w:r>
        <w:rPr>
          <w:bCs/>
          <w:b/>
        </w:rPr>
        <w:t xml:space="preserve">Project Planning &amp; Scheduling:</w:t>
      </w:r>
      <w:r>
        <w:t xml:space="preserve"> </w:t>
      </w:r>
      <w:r>
        <w:t xml:space="preserve">Development of detailed project plans, critical path methodologies, and milestone schedules compliant with Saudi Arabian project delivery standards.</w:t>
      </w:r>
    </w:p>
    <w:p>
      <w:pPr>
        <w:numPr>
          <w:ilvl w:val="0"/>
          <w:numId w:val="1001"/>
        </w:numPr>
        <w:pStyle w:val="Compact"/>
      </w:pPr>
      <w:r>
        <w:rPr>
          <w:bCs/>
          <w:b/>
        </w:rPr>
        <w:t xml:space="preserve">Stakeholder Coordination:</w:t>
      </w:r>
      <w:r>
        <w:t xml:space="preserve"> </w:t>
      </w:r>
      <w:r>
        <w:t xml:space="preserve">Liaison with all governmental authorities in Riyadh, including the Ministry of Municipal, Rural Affairs and Housing, the Riyadh Development Authority, and relevant municipal bodies.</w:t>
      </w:r>
    </w:p>
    <w:p>
      <w:pPr>
        <w:numPr>
          <w:ilvl w:val="0"/>
          <w:numId w:val="1001"/>
        </w:numPr>
        <w:pStyle w:val="Compact"/>
      </w:pPr>
      <w:r>
        <w:rPr>
          <w:bCs/>
          <w:b/>
        </w:rPr>
        <w:t xml:space="preserve">Budget &amp; Cost Control:</w:t>
      </w:r>
      <w:r>
        <w:t xml:space="preserve"> </w:t>
      </w:r>
      <w:r>
        <w:t xml:space="preserve">Management of the project budget, procurement oversight, and cost variance reporting in accordance with Saudi financial regulations.</w:t>
      </w:r>
    </w:p>
    <w:p>
      <w:pPr>
        <w:numPr>
          <w:ilvl w:val="0"/>
          <w:numId w:val="1001"/>
        </w:numPr>
        <w:pStyle w:val="Compact"/>
      </w:pPr>
      <w:r>
        <w:rPr>
          <w:bCs/>
          <w:b/>
        </w:rPr>
        <w:t xml:space="preserve">Quality Assurance &amp; Compliance:</w:t>
      </w:r>
      <w:r>
        <w:t xml:space="preserve"> </w:t>
      </w:r>
      <w:r>
        <w:t xml:space="preserve">Ensuring all deliverables meet the Saudi Building Code, SASO standards, and any applicable international certifications required for projects in Saudi Arabia Riyadh.</w:t>
      </w:r>
    </w:p>
    <w:p>
      <w:pPr>
        <w:numPr>
          <w:ilvl w:val="0"/>
          <w:numId w:val="1001"/>
        </w:numPr>
        <w:pStyle w:val="Compact"/>
      </w:pPr>
      <w:r>
        <w:rPr>
          <w:bCs/>
          <w:b/>
        </w:rPr>
        <w:t xml:space="preserve">Team Leadership:</w:t>
      </w:r>
      <w:r>
        <w:t xml:space="preserve"> </w:t>
      </w:r>
      <w:r>
        <w:t xml:space="preserve">Supervision of on-site engineers, subcontractors, and support staff operating within the Riyadh project site.</w:t>
      </w:r>
    </w:p>
    <w:p>
      <w:pPr>
        <w:numPr>
          <w:ilvl w:val="0"/>
          <w:numId w:val="1001"/>
        </w:numPr>
        <w:pStyle w:val="Compact"/>
      </w:pPr>
      <w:r>
        <w:rPr>
          <w:bCs/>
          <w:b/>
        </w:rPr>
        <w:t xml:space="preserve">Risk Management:</w:t>
      </w:r>
      <w:r>
        <w:t xml:space="preserve"> </w:t>
      </w:r>
      <w:r>
        <w:t xml:space="preserve">Identification, assessment, and mitigation of project risks specific to the Saudi Arabia Riyadh operating environment, including supply chain, regulatory, and environmental risks.</w:t>
      </w:r>
    </w:p>
    <w:p>
      <w:pPr>
        <w:numPr>
          <w:ilvl w:val="0"/>
          <w:numId w:val="1001"/>
        </w:numPr>
        <w:pStyle w:val="Compact"/>
      </w:pPr>
      <w:r>
        <w:rPr>
          <w:bCs/>
          <w:b/>
        </w:rPr>
        <w:t xml:space="preserve">Reporting &amp; Documentation:</w:t>
      </w:r>
      <w:r>
        <w:t xml:space="preserve"> </w:t>
      </w:r>
      <w:r>
        <w:t xml:space="preserve">Weekly and monthly progress reports, variance analyses, and formal documentation in both Arabic and English as required by Saudi Arabian project governance frameworks.</w:t>
      </w:r>
    </w:p>
    <w:p>
      <w:pPr>
        <w:numPr>
          <w:ilvl w:val="0"/>
          <w:numId w:val="1001"/>
        </w:numPr>
        <w:pStyle w:val="Compact"/>
      </w:pPr>
      <w:r>
        <w:rPr>
          <w:bCs/>
          <w:b/>
        </w:rPr>
        <w:t xml:space="preserve">Handover &amp; Closeout:</w:t>
      </w:r>
      <w:r>
        <w:t xml:space="preserve"> </w:t>
      </w:r>
      <w:r>
        <w:t xml:space="preserve">Management of the project handover process, as-built documentation, warranty registration, and final acceptance in coordination with the client and relevant Saudi authorities.</w:t>
      </w:r>
    </w:p>
    <w:bookmarkEnd w:id="22"/>
    <w:bookmarkStart w:id="23" w:name="project-manager-qualifications"/>
    <w:p>
      <w:pPr>
        <w:pStyle w:val="Heading2"/>
      </w:pPr>
      <w:r>
        <w:t xml:space="preserve">3. Project Manager Qualifications</w:t>
      </w:r>
    </w:p>
    <w:p>
      <w:pPr>
        <w:pStyle w:val="FirstParagraph"/>
      </w:pPr>
      <w:r>
        <w:t xml:space="preserve">The Project Manager proposed under this Quotation Estimate holds a minimum of fifteen (15) years of progressive experience in large-scale infrastructure and commercial construction projects within the Kingdom of Saudi Arabia. The candidate possesses a PMP (Project Management Professional) certification, a Master's degree in Construction Management, and demonstrated experience managing projects valued in excess of SAR 500 million in the Riyadh region. Fluency in both Arabic and English is mandatory, and the Project Manager must hold a valid Saudi Arabian work permit (Iqama) or be eligible for sponsorship under the client's establishment.</w:t>
      </w:r>
    </w:p>
    <w:bookmarkEnd w:id="23"/>
    <w:bookmarkStart w:id="24" w:name="quotation-estimate-pricing-breakdown"/>
    <w:p>
      <w:pPr>
        <w:pStyle w:val="Heading2"/>
      </w:pPr>
      <w:r>
        <w:t xml:space="preserve">4. Quotation Estimate —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Project Manager — Monthly Professional Fee</w:t>
            </w:r>
          </w:p>
        </w:tc>
        <w:tc>
          <w:tcPr/>
          <w:p>
            <w:pPr>
              <w:pStyle w:val="Compact"/>
              <w:jc w:val="left"/>
            </w:pPr>
            <w:r>
              <w:t xml:space="preserve">18 months</w:t>
            </w:r>
          </w:p>
        </w:tc>
        <w:tc>
          <w:tcPr/>
          <w:p>
            <w:pPr>
              <w:pStyle w:val="Compact"/>
              <w:jc w:val="left"/>
            </w:pPr>
            <w:r>
              <w:t xml:space="preserve">45,000 / month</w:t>
            </w:r>
          </w:p>
        </w:tc>
        <w:tc>
          <w:tcPr/>
          <w:p>
            <w:pPr>
              <w:pStyle w:val="Compact"/>
              <w:jc w:val="left"/>
            </w:pPr>
            <w:r>
              <w:t xml:space="preserve">810,000</w:t>
            </w:r>
          </w:p>
        </w:tc>
      </w:tr>
      <w:tr>
        <w:tc>
          <w:tcPr/>
          <w:p>
            <w:pPr>
              <w:pStyle w:val="Compact"/>
              <w:jc w:val="left"/>
            </w:pPr>
            <w:r>
              <w:t xml:space="preserve">2</w:t>
            </w:r>
          </w:p>
        </w:tc>
        <w:tc>
          <w:tcPr/>
          <w:p>
            <w:pPr>
              <w:pStyle w:val="Compact"/>
              <w:jc w:val="left"/>
            </w:pPr>
            <w:r>
              <w:t xml:space="preserve">Project Planning &amp; Mobilization (One-time)</w:t>
            </w:r>
          </w:p>
        </w:tc>
        <w:tc>
          <w:tcPr/>
          <w:p>
            <w:pPr>
              <w:pStyle w:val="Compact"/>
              <w:jc w:val="left"/>
            </w:pPr>
            <w:r>
              <w:t xml:space="preserve">1 month</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Regulatory &amp; Authority Liaison (Riyadh Municipal, MHR)</w:t>
            </w:r>
          </w:p>
        </w:tc>
        <w:tc>
          <w:tcPr/>
          <w:p>
            <w:pPr>
              <w:pStyle w:val="Compact"/>
              <w:jc w:val="left"/>
            </w:pPr>
            <w:r>
              <w:t xml:space="preserve">18 months</w:t>
            </w:r>
          </w:p>
        </w:tc>
        <w:tc>
          <w:tcPr/>
          <w:p>
            <w:pPr>
              <w:pStyle w:val="Compact"/>
              <w:jc w:val="left"/>
            </w:pPr>
            <w:r>
              <w:t xml:space="preserve">8,000 / month</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Quality Assurance &amp; Compliance Oversight</w:t>
            </w:r>
          </w:p>
        </w:tc>
        <w:tc>
          <w:tcPr/>
          <w:p>
            <w:pPr>
              <w:pStyle w:val="Compact"/>
              <w:jc w:val="left"/>
            </w:pPr>
            <w:r>
              <w:t xml:space="preserve">18 months</w:t>
            </w:r>
          </w:p>
        </w:tc>
        <w:tc>
          <w:tcPr/>
          <w:p>
            <w:pPr>
              <w:pStyle w:val="Compact"/>
              <w:jc w:val="left"/>
            </w:pPr>
            <w:r>
              <w:t xml:space="preserve">6,500 / month</w:t>
            </w:r>
          </w:p>
        </w:tc>
        <w:tc>
          <w:tcPr/>
          <w:p>
            <w:pPr>
              <w:pStyle w:val="Compact"/>
              <w:jc w:val="left"/>
            </w:pPr>
            <w:r>
              <w:t xml:space="preserve">117,000</w:t>
            </w:r>
          </w:p>
        </w:tc>
      </w:tr>
      <w:tr>
        <w:tc>
          <w:tcPr/>
          <w:p>
            <w:pPr>
              <w:pStyle w:val="Compact"/>
              <w:jc w:val="left"/>
            </w:pPr>
            <w:r>
              <w:t xml:space="preserve">5</w:t>
            </w:r>
          </w:p>
        </w:tc>
        <w:tc>
          <w:tcPr/>
          <w:p>
            <w:pPr>
              <w:pStyle w:val="Compact"/>
              <w:jc w:val="left"/>
            </w:pPr>
            <w:r>
              <w:t xml:space="preserve">Reporting, Documentation &amp; Handover Package</w:t>
            </w:r>
          </w:p>
        </w:tc>
        <w:tc>
          <w:tcPr/>
          <w:p>
            <w:pPr>
              <w:pStyle w:val="Compact"/>
              <w:jc w:val="left"/>
            </w:pPr>
            <w:r>
              <w:t xml:space="preserve">18 months</w:t>
            </w:r>
          </w:p>
        </w:tc>
        <w:tc>
          <w:tcPr/>
          <w:p>
            <w:pPr>
              <w:pStyle w:val="Compact"/>
              <w:jc w:val="left"/>
            </w:pPr>
            <w:r>
              <w:t xml:space="preserve">4,500 / month</w:t>
            </w:r>
          </w:p>
        </w:tc>
        <w:tc>
          <w:tcPr/>
          <w:p>
            <w:pPr>
              <w:pStyle w:val="Compact"/>
              <w:jc w:val="left"/>
            </w:pPr>
            <w:r>
              <w:t xml:space="preserve">81,000</w:t>
            </w:r>
          </w:p>
        </w:tc>
      </w:tr>
      <w:tr>
        <w:tc>
          <w:tcPr/>
          <w:p>
            <w:pPr>
              <w:pStyle w:val="Compact"/>
              <w:jc w:val="left"/>
            </w:pPr>
            <w:r>
              <w:t xml:space="preserve">6</w:t>
            </w:r>
          </w:p>
        </w:tc>
        <w:tc>
          <w:tcPr/>
          <w:p>
            <w:pPr>
              <w:pStyle w:val="Compact"/>
              <w:jc w:val="left"/>
            </w:pPr>
            <w:r>
              <w:t xml:space="preserve">Travel &amp; Local Transportation within Riyadh</w:t>
            </w:r>
          </w:p>
        </w:tc>
        <w:tc>
          <w:tcPr/>
          <w:p>
            <w:pPr>
              <w:pStyle w:val="Compact"/>
              <w:jc w:val="left"/>
            </w:pPr>
            <w:r>
              <w:t xml:space="preserve">18 months</w:t>
            </w:r>
          </w:p>
        </w:tc>
        <w:tc>
          <w:tcPr/>
          <w:p>
            <w:pPr>
              <w:pStyle w:val="Compact"/>
              <w:jc w:val="left"/>
            </w:pPr>
            <w:r>
              <w:t xml:space="preserve">3,000 / month</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Contingency &amp; Unforeseen Scope (5%)</w:t>
            </w:r>
          </w:p>
        </w:tc>
        <w:tc>
          <w:tcPr/>
          <w:p>
            <w:pPr>
              <w:pStyle w:val="Compact"/>
              <w:jc w:val="left"/>
            </w:pPr>
            <w:r>
              <w:t xml:space="preserve">—</w:t>
            </w:r>
          </w:p>
        </w:tc>
        <w:tc>
          <w:tcPr/>
          <w:p>
            <w:pPr>
              <w:pStyle w:val="Compact"/>
              <w:jc w:val="left"/>
            </w:pPr>
            <w:r>
              <w:t xml:space="preserve">—</w:t>
            </w:r>
          </w:p>
        </w:tc>
        <w:tc>
          <w:tcPr/>
          <w:p>
            <w:pPr>
              <w:pStyle w:val="Compact"/>
              <w:jc w:val="left"/>
            </w:pPr>
            <w:r>
              <w:t xml:space="preserve">60,000</w:t>
            </w:r>
          </w:p>
        </w:tc>
      </w:tr>
      <w:tr>
        <w:tc>
          <w:tcPr>
            <w:gridSpan w:val="4"/>
          </w:tcPr>
          <w:p>
            <w:pPr>
              <w:pStyle w:val="Compact"/>
              <w:jc w:val="left"/>
            </w:pPr>
            <w:r>
              <w:t xml:space="preserve">TOTAL QUOTATION ESTIMATE (SAR)</w:t>
            </w:r>
          </w:p>
        </w:tc>
        <w:tc>
          <w:tcPr/>
          <w:p>
            <w:pPr>
              <w:pStyle w:val="Compact"/>
              <w:jc w:val="left"/>
            </w:pPr>
            <w:r>
              <w:t xml:space="preserve">1,301,000</w:t>
            </w:r>
          </w:p>
        </w:tc>
      </w:tr>
      <w:tr>
        <w:tc>
          <w:tcPr>
            <w:gridSpan w:val="4"/>
          </w:tcPr>
          <w:p>
            <w:pPr>
              <w:pStyle w:val="Compact"/>
              <w:jc w:val="left"/>
            </w:pPr>
            <w:r>
              <w:t xml:space="preserve">VAT @ 15% (Saudi Arabia)</w:t>
            </w:r>
          </w:p>
        </w:tc>
        <w:tc>
          <w:tcPr/>
          <w:p>
            <w:pPr>
              <w:pStyle w:val="Compact"/>
              <w:jc w:val="left"/>
            </w:pPr>
            <w:r>
              <w:t xml:space="preserve">195,150</w:t>
            </w:r>
          </w:p>
        </w:tc>
      </w:tr>
      <w:tr>
        <w:tc>
          <w:tcPr>
            <w:gridSpan w:val="4"/>
          </w:tcPr>
          <w:p>
            <w:pPr>
              <w:pStyle w:val="Compact"/>
              <w:jc w:val="left"/>
            </w:pPr>
            <w:r>
              <w:t xml:space="preserve">GRAND TOTAL (SAR, VAT Inclusive)</w:t>
            </w:r>
          </w:p>
        </w:tc>
        <w:tc>
          <w:tcPr/>
          <w:p>
            <w:pPr>
              <w:pStyle w:val="Compact"/>
              <w:jc w:val="left"/>
            </w:pPr>
            <w:r>
              <w:t xml:space="preserve">1,496,150</w:t>
            </w:r>
          </w:p>
        </w:tc>
      </w:tr>
    </w:tbl>
    <w:p>
      <w:pPr>
        <w:pStyle w:val="BodyText"/>
      </w:pPr>
      <w:r>
        <w:rPr>
          <w:bCs/>
          <w:b/>
        </w:rPr>
        <w:t xml:space="preserve">Note:</w:t>
      </w:r>
      <w:r>
        <w:t xml:space="preserve"> </w:t>
      </w:r>
      <w:r>
        <w:t xml:space="preserve">This Quotation Estimate is valid for thirty (30) calendar days from the date of issue. All rates are exclusive of any applicable Saudi Arabian withholding tax, which shall be borne by the client as per Kingdom tax regulations. Payment terms are Net 30 days from invoice date, payable in Saudi Riyal via bank transfer to the designated account in Riyadh.</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non-binding until formally accepted in writing by the client and countersigned by both parties.</w:t>
      </w:r>
    </w:p>
    <w:p>
      <w:pPr>
        <w:numPr>
          <w:ilvl w:val="0"/>
          <w:numId w:val="1002"/>
        </w:numPr>
        <w:pStyle w:val="Compact"/>
      </w:pPr>
      <w:r>
        <w:t xml:space="preserve">The Project Manager engagement is governed by the laws of the Kingdom of Saudi Arabia and any disputes shall be resolved through the Riyadh Commercial Court or by arbitration under the Saudi Center for Commercial Arbitration (SCCA).</w:t>
      </w:r>
    </w:p>
    <w:p>
      <w:pPr>
        <w:numPr>
          <w:ilvl w:val="0"/>
          <w:numId w:val="1002"/>
        </w:numPr>
        <w:pStyle w:val="Compact"/>
      </w:pPr>
      <w:r>
        <w:t xml:space="preserve">The client shall provide the Project Manager with a dedicated office space, access to the project site in Riyadh, and all necessary permits and clearances to perform duties.</w:t>
      </w:r>
    </w:p>
    <w:p>
      <w:pPr>
        <w:numPr>
          <w:ilvl w:val="0"/>
          <w:numId w:val="1002"/>
        </w:numPr>
        <w:pStyle w:val="Compact"/>
      </w:pPr>
      <w:r>
        <w:t xml:space="preserve">Any change in scope beyond the parameters defined in this Quotation Estimate shall be subject to a formal change order and revised pricing.</w:t>
      </w:r>
    </w:p>
    <w:p>
      <w:pPr>
        <w:numPr>
          <w:ilvl w:val="0"/>
          <w:numId w:val="1002"/>
        </w:numPr>
        <w:pStyle w:val="Compact"/>
      </w:pPr>
      <w:r>
        <w:t xml:space="preserve">The Project Manager shall maintain professional indemnity insurance with a minimum coverage of SAR 5,000,000, valid throughout the engagement period in Saudi Arabia.</w:t>
      </w:r>
    </w:p>
    <w:p>
      <w:pPr>
        <w:numPr>
          <w:ilvl w:val="0"/>
          <w:numId w:val="1002"/>
        </w:numPr>
        <w:pStyle w:val="Compact"/>
      </w:pPr>
      <w:r>
        <w:t xml:space="preserve">Confidentiality: All project information, drawings, and proprietary data accessed by the Project Manager in Saudi Arabia Riyadh shall remain the exclusive property of the client and shall not be disclosed to third parties.</w:t>
      </w:r>
    </w:p>
    <w:p>
      <w:pPr>
        <w:numPr>
          <w:ilvl w:val="0"/>
          <w:numId w:val="1002"/>
        </w:numPr>
        <w:pStyle w:val="Compact"/>
      </w:pPr>
      <w:r>
        <w:t xml:space="preserve">Termination: Either party may terminate the engagement with sixty (60) days written notice. In the event of termination, the client shall pay for all services rendered up to the termination date as per this Quotation Estimate.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 Quotation Estimate for the Project Manager services to be delivered in Saudi Arabia Riyadh.</w:t>
      </w:r>
    </w:p>
    <w:p>
      <w:pPr>
        <w:pStyle w:val="BodyText"/>
      </w:pPr>
      <w:r>
        <w:rPr>
          <w:bCs/>
          <w:b/>
        </w:rPr>
        <w:t xml:space="preserve">For: Al-Riyadh Professional Services Co.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QTE-SAR-2025-0472 | Al-Riyadh Professional Services Co. Ltd. | King Fahd Road, Al Olaya District, Riyadh 12212, Saudi Arabia</w:t>
      </w:r>
    </w:p>
    <w:p>
      <w:pPr>
        <w:pStyle w:val="BodyText"/>
      </w:pPr>
      <w:r>
        <w:t xml:space="preserve">Tel: +966 11 XXX XXXX | Email: quotations@alriyadhproservices.sa | CR: 1010XXXXXX</w:t>
      </w:r>
    </w:p>
    <w:p>
      <w:pPr>
        <w:pStyle w:val="BodyText"/>
      </w:pPr>
      <w:r>
        <w:t xml:space="preserve">This document is the property of Al-Riyadh Professional Services Co. Ltd. and is issued exclusively for the client named herein. Unauthorized reproduction or distribution is prohibited under Saudi Arabian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Saudi Arabia Riyadh</dc:title>
  <dc:creator/>
  <dc:language>en</dc:language>
  <cp:keywords/>
  <dcterms:created xsi:type="dcterms:W3CDTF">2026-10-10T03:36:12Z</dcterms:created>
  <dcterms:modified xsi:type="dcterms:W3CDTF">2026-10-10T03:36:12Z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