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quotation-estimate"/>
    <w:p>
      <w:pPr>
        <w:pStyle w:val="Heading1"/>
      </w:pPr>
      <w:r>
        <w:t xml:space="preserve">Quotation Estimate</w:t>
      </w:r>
    </w:p>
    <w:p>
      <w:pPr>
        <w:pStyle w:val="FirstParagraph"/>
      </w:pPr>
      <w:r>
        <w:t xml:space="preserve">Professional Project Manager Services — Switzerland Zurich</w:t>
      </w:r>
    </w:p>
    <w:bookmarkEnd w:id="20"/>
    <w:p>
      <w:pPr>
        <w:pStyle w:val="BodyText"/>
      </w:pPr>
      <w:r>
        <w:t xml:space="preserve">Quotation Reference: QE-ZRH-2025-0472</w:t>
      </w:r>
      <w:r>
        <w:t xml:space="preserve"> </w:t>
      </w:r>
      <w:r>
        <w:t xml:space="preserve">Date of Issue: 14 June 2025</w:t>
      </w:r>
      <w:r>
        <w:t xml:space="preserve"> </w:t>
      </w:r>
      <w:r>
        <w:t xml:space="preserve">Valid Until: 14 July 2025</w:t>
      </w:r>
    </w:p>
    <w:bookmarkStart w:id="21" w:name="introduction-and-purpose"/>
    <w:p>
      <w:pPr>
        <w:pStyle w:val="Heading2"/>
      </w:pPr>
      <w:r>
        <w:t xml:space="preserve">1. Introduction and Purpose</w:t>
      </w:r>
    </w:p>
    <w:p>
      <w:pPr>
        <w:pStyle w:val="FirstParagraph"/>
      </w:pPr>
      <w:r>
        <w:t xml:space="preserve">This</w:t>
      </w:r>
      <w:r>
        <w:t xml:space="preserve"> </w:t>
      </w:r>
      <w:r>
        <w:t xml:space="preserve">Quotation Estimate</w:t>
      </w:r>
      <w:r>
        <w:t xml:space="preserve"> </w:t>
      </w:r>
      <w:r>
        <w:t xml:space="preserve">is issued by Helvetia Project Solutions AG, a registered consultancy firm headquartered in the canton of Zurich, to provide a comprehensive and transparent cost breakdown for the engagement of a senior</w:t>
      </w:r>
      <w:r>
        <w:t xml:space="preserve"> </w:t>
      </w:r>
      <w:r>
        <w:t xml:space="preserve">Project Manager</w:t>
      </w:r>
      <w:r>
        <w:t xml:space="preserve"> </w:t>
      </w:r>
      <w:r>
        <w:t xml:space="preserve">to support the client's operational initiatives within</w:t>
      </w:r>
      <w:r>
        <w:t xml:space="preserve"> </w:t>
      </w:r>
      <w:r>
        <w:t xml:space="preserve">Switzerland Zurich</w:t>
      </w:r>
      <w:r>
        <w:t xml:space="preserve">. This document serves as a formal proposal outlining the scope of services, deliverables, fee structure, and contractual terms governing the professional engagement.</w:t>
      </w:r>
    </w:p>
    <w:p>
      <w:pPr>
        <w:pStyle w:val="BodyText"/>
      </w:pPr>
      <w:r>
        <w:t xml:space="preserve">The</w:t>
      </w:r>
      <w:r>
        <w:t xml:space="preserve"> </w:t>
      </w:r>
      <w:r>
        <w:t xml:space="preserve">Project Manager</w:t>
      </w:r>
      <w:r>
        <w:t xml:space="preserve"> </w:t>
      </w:r>
      <w:r>
        <w:t xml:space="preserve">engagement described herein is specifically tailored to the regulatory, linguistic, and business environment of</w:t>
      </w:r>
      <w:r>
        <w:t xml:space="preserve"> </w:t>
      </w:r>
      <w:r>
        <w:t xml:space="preserve">Switzerland Zurich</w:t>
      </w:r>
      <w:r>
        <w:t xml:space="preserve">, ensuring full compliance with Swiss labor law, the Swiss Code of Obligations (OR), and all applicable cantonal regulations governing professional services in the Zurich metropolitan area.</w:t>
      </w:r>
    </w:p>
    <w:bookmarkEnd w:id="21"/>
    <w:bookmarkStart w:id="22" w:name="client-and-provider-information"/>
    <w:p>
      <w:pPr>
        <w:pStyle w:val="Heading2"/>
      </w:pPr>
      <w:r>
        <w:t xml:space="preserve">2. Client and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Provider</w:t>
            </w:r>
          </w:p>
        </w:tc>
        <w:tc>
          <w:tcPr/>
          <w:p>
            <w:pPr>
              <w:pStyle w:val="Compact"/>
              <w:jc w:val="left"/>
            </w:pPr>
            <w:r>
              <w:t xml:space="preserve">Helvetia Project Solutions AG, Bahnhofstrasse 142, 8001 Zurich, Switzerland</w:t>
            </w:r>
          </w:p>
        </w:tc>
      </w:tr>
      <w:tr>
        <w:tc>
          <w:tcPr/>
          <w:p>
            <w:pPr>
              <w:pStyle w:val="Compact"/>
              <w:jc w:val="left"/>
            </w:pPr>
            <w:r>
              <w:rPr>
                <w:bCs/>
                <w:b/>
              </w:rPr>
              <w:t xml:space="preserve">Client</w:t>
            </w:r>
          </w:p>
        </w:tc>
        <w:tc>
          <w:tcPr/>
          <w:p>
            <w:pPr>
              <w:pStyle w:val="Compact"/>
              <w:jc w:val="left"/>
            </w:pPr>
            <w:r>
              <w:t xml:space="preserve">[Client Company Name], [Street Address], 8001 Zurich, Switzerland</w:t>
            </w:r>
          </w:p>
        </w:tc>
      </w:tr>
      <w:tr>
        <w:tc>
          <w:tcPr/>
          <w:p>
            <w:pPr>
              <w:pStyle w:val="Compact"/>
              <w:jc w:val="left"/>
            </w:pPr>
            <w:r>
              <w:rPr>
                <w:bCs/>
                <w:b/>
              </w:rPr>
              <w:t xml:space="preserve">Engagement Location</w:t>
            </w:r>
          </w:p>
        </w:tc>
        <w:tc>
          <w:tcPr/>
          <w:p>
            <w:pPr>
              <w:pStyle w:val="Compact"/>
              <w:jc w:val="left"/>
            </w:pPr>
            <w:r>
              <w:t xml:space="preserve">Switzerland Zurich (on-site and hybrid model)</w:t>
            </w:r>
          </w:p>
        </w:tc>
      </w:tr>
      <w:tr>
        <w:tc>
          <w:tcPr/>
          <w:p>
            <w:pPr>
              <w:pStyle w:val="Compact"/>
              <w:jc w:val="left"/>
            </w:pPr>
            <w:r>
              <w:rPr>
                <w:bCs/>
                <w:b/>
              </w:rPr>
              <w:t xml:space="preserve">Engagement Duration</w:t>
            </w:r>
          </w:p>
        </w:tc>
        <w:tc>
          <w:tcPr/>
          <w:p>
            <w:pPr>
              <w:pStyle w:val="Compact"/>
              <w:jc w:val="left"/>
            </w:pPr>
            <w:r>
              <w:t xml:space="preserve">12 months (renewable by mutual agreement)</w:t>
            </w:r>
          </w:p>
        </w:tc>
      </w:tr>
      <w:tr>
        <w:tc>
          <w:tcPr/>
          <w:p>
            <w:pPr>
              <w:pStyle w:val="Compact"/>
              <w:jc w:val="left"/>
            </w:pPr>
            <w:r>
              <w:rPr>
                <w:bCs/>
                <w:b/>
              </w:rPr>
              <w:t xml:space="preserve">Language of Service</w:t>
            </w:r>
          </w:p>
        </w:tc>
        <w:tc>
          <w:tcPr/>
          <w:p>
            <w:pPr>
              <w:pStyle w:val="Compact"/>
              <w:jc w:val="left"/>
            </w:pPr>
            <w:r>
              <w:t xml:space="preserve">English (primary), German (secondary, as required in Switzerland Zurich)</w:t>
            </w:r>
          </w:p>
        </w:tc>
      </w:tr>
    </w:tbl>
    <w:bookmarkEnd w:id="22"/>
    <w:bookmarkStart w:id="23" w:name="scope-of-services-project-manager-role"/>
    <w:p>
      <w:pPr>
        <w:pStyle w:val="Heading2"/>
      </w:pPr>
      <w:r>
        <w:t xml:space="preserve">3. Scope of Services — Project Manager Role</w:t>
      </w:r>
    </w:p>
    <w:p>
      <w:pPr>
        <w:pStyle w:val="FirstParagraph"/>
      </w:pPr>
      <w:r>
        <w:t xml:space="preserve">The</w:t>
      </w:r>
      <w:r>
        <w:t xml:space="preserve"> </w:t>
      </w:r>
      <w:r>
        <w:t xml:space="preserve">Project Manager</w:t>
      </w:r>
      <w:r>
        <w:t xml:space="preserve"> </w:t>
      </w:r>
      <w:r>
        <w:t xml:space="preserve">engaged under this</w:t>
      </w:r>
      <w:r>
        <w:t xml:space="preserve"> </w:t>
      </w:r>
      <w:r>
        <w:t xml:space="preserve">Quotation Estimate</w:t>
      </w:r>
      <w:r>
        <w:t xml:space="preserve"> </w:t>
      </w:r>
      <w:r>
        <w:t xml:space="preserve">shall perform the following duties and responsibilities within the operational context of</w:t>
      </w:r>
      <w:r>
        <w:t xml:space="preserve"> </w:t>
      </w:r>
      <w:r>
        <w:t xml:space="preserve">Switzerland Zurich</w:t>
      </w:r>
      <w:r>
        <w:t xml:space="preserve">:</w:t>
      </w:r>
    </w:p>
    <w:p>
      <w:pPr>
        <w:numPr>
          <w:ilvl w:val="0"/>
          <w:numId w:val="1001"/>
        </w:numPr>
        <w:pStyle w:val="Compact"/>
      </w:pPr>
      <w:r>
        <w:t xml:space="preserve">End-to-end project planning, scheduling, and execution oversight for up to three concurrent projects per quarter.</w:t>
      </w:r>
    </w:p>
    <w:p>
      <w:pPr>
        <w:numPr>
          <w:ilvl w:val="0"/>
          <w:numId w:val="1001"/>
        </w:numPr>
        <w:pStyle w:val="Compact"/>
      </w:pPr>
      <w:r>
        <w:t xml:space="preserve">Stakeholder management and coordination with local Swiss authorities, regulatory bodies, and municipal offices in the Zurich region.</w:t>
      </w:r>
    </w:p>
    <w:p>
      <w:pPr>
        <w:numPr>
          <w:ilvl w:val="0"/>
          <w:numId w:val="1001"/>
        </w:numPr>
        <w:pStyle w:val="Compact"/>
      </w:pPr>
      <w:r>
        <w:t xml:space="preserve">Budget development, cost tracking, and financial reporting in accordance with Swiss GAAP FER standards.</w:t>
      </w:r>
    </w:p>
    <w:p>
      <w:pPr>
        <w:numPr>
          <w:ilvl w:val="0"/>
          <w:numId w:val="1001"/>
        </w:numPr>
        <w:pStyle w:val="Compact"/>
      </w:pPr>
      <w:r>
        <w:t xml:space="preserve">Risk identification, mitigation strategy formulation, and escalation management specific to the Swiss business environment.</w:t>
      </w:r>
    </w:p>
    <w:p>
      <w:pPr>
        <w:numPr>
          <w:ilvl w:val="0"/>
          <w:numId w:val="1001"/>
        </w:numPr>
        <w:pStyle w:val="Compact"/>
      </w:pPr>
      <w:r>
        <w:t xml:space="preserve">Team leadership and resource allocation, including coordination with local subcontractors and vendors operating in Switzerland Zurich.</w:t>
      </w:r>
    </w:p>
    <w:p>
      <w:pPr>
        <w:numPr>
          <w:ilvl w:val="0"/>
          <w:numId w:val="1001"/>
        </w:numPr>
        <w:pStyle w:val="Compact"/>
      </w:pPr>
      <w:r>
        <w:t xml:space="preserve">Preparation and delivery of weekly progress reports, monthly executive summaries, and quarterly strategic reviews.</w:t>
      </w:r>
    </w:p>
    <w:p>
      <w:pPr>
        <w:numPr>
          <w:ilvl w:val="0"/>
          <w:numId w:val="1001"/>
        </w:numPr>
        <w:pStyle w:val="Compact"/>
      </w:pPr>
      <w:r>
        <w:t xml:space="preserve">Compliance assurance with Swiss data protection law (nFADP), occupational safety regulations, and industry-specific standards applicable in the canton of Zurich.</w:t>
      </w:r>
    </w:p>
    <w:p>
      <w:pPr>
        <w:numPr>
          <w:ilvl w:val="0"/>
          <w:numId w:val="1001"/>
        </w:numPr>
        <w:pStyle w:val="Compact"/>
      </w:pPr>
      <w:r>
        <w:t xml:space="preserve">Facilitation of cross-functional workshops and sprint ceremonies in both English and German to accommodate the multilingual workforce in Switzerland Zurich.</w:t>
      </w:r>
    </w:p>
    <w:bookmarkEnd w:id="23"/>
    <w:bookmarkStart w:id="24" w:name="fee-structure-and-cost-breakdown"/>
    <w:p>
      <w:pPr>
        <w:pStyle w:val="Heading2"/>
      </w:pPr>
      <w:r>
        <w:t xml:space="preserve">4. Fee Structure and Cost Breakdown</w:t>
      </w:r>
    </w:p>
    <w:p>
      <w:pPr>
        <w:pStyle w:val="FirstParagraph"/>
      </w:pPr>
      <w:r>
        <w:t xml:space="preserve">The following</w:t>
      </w:r>
      <w:r>
        <w:t xml:space="preserve"> </w:t>
      </w:r>
      <w:r>
        <w:t xml:space="preserve">Quotation Estimate</w:t>
      </w:r>
      <w:r>
        <w:t xml:space="preserve"> </w:t>
      </w:r>
      <w:r>
        <w:t xml:space="preserve">details all costs associated with the</w:t>
      </w:r>
      <w:r>
        <w:t xml:space="preserve"> </w:t>
      </w:r>
      <w:r>
        <w:t xml:space="preserve">Project Manager</w:t>
      </w:r>
      <w:r>
        <w:t xml:space="preserve"> </w:t>
      </w:r>
      <w:r>
        <w:t xml:space="preserve">engagement in</w:t>
      </w:r>
      <w:r>
        <w:t xml:space="preserve"> </w:t>
      </w:r>
      <w:r>
        <w:t xml:space="preserve">Switzerland Zurich</w:t>
      </w:r>
      <w:r>
        <w:t xml:space="preserve">. All amounts are quoted in Swiss Francs (CHF) and are inclusive of applicable value-added tax (VAT) at the standard rate of 8.1% as per Swiss federal tax law.</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Monthly (CHF)</w:t>
            </w:r>
          </w:p>
        </w:tc>
        <w:tc>
          <w:tcPr/>
          <w:p>
            <w:pPr>
              <w:pStyle w:val="Compact"/>
              <w:jc w:val="left"/>
            </w:pPr>
            <w:r>
              <w:t xml:space="preserve">Annual (CHF)</w:t>
            </w:r>
          </w:p>
        </w:tc>
      </w:tr>
      <w:tr>
        <w:tc>
          <w:tcPr/>
          <w:p>
            <w:pPr>
              <w:pStyle w:val="Compact"/>
              <w:jc w:val="left"/>
            </w:pPr>
            <w:r>
              <w:t xml:space="preserve">1</w:t>
            </w:r>
          </w:p>
        </w:tc>
        <w:tc>
          <w:tcPr/>
          <w:p>
            <w:pPr>
              <w:pStyle w:val="Compact"/>
              <w:jc w:val="left"/>
            </w:pPr>
            <w:r>
              <w:t xml:space="preserve">Senior Project Manager professional fee (160 hours/month, on-site in Switzerland Zurich)</w:t>
            </w:r>
          </w:p>
        </w:tc>
        <w:tc>
          <w:tcPr/>
          <w:p>
            <w:pPr>
              <w:pStyle w:val="Compact"/>
              <w:jc w:val="left"/>
            </w:pPr>
            <w:r>
              <w:t xml:space="preserve">18,400.00</w:t>
            </w:r>
          </w:p>
        </w:tc>
        <w:tc>
          <w:tcPr/>
          <w:p>
            <w:pPr>
              <w:pStyle w:val="Compact"/>
              <w:jc w:val="left"/>
            </w:pPr>
            <w:r>
              <w:t xml:space="preserve">220,800.00</w:t>
            </w:r>
          </w:p>
        </w:tc>
      </w:tr>
      <w:tr>
        <w:tc>
          <w:tcPr/>
          <w:p>
            <w:pPr>
              <w:pStyle w:val="Compact"/>
              <w:jc w:val="left"/>
            </w:pPr>
            <w:r>
              <w:t xml:space="preserve">2</w:t>
            </w:r>
          </w:p>
        </w:tc>
        <w:tc>
          <w:tcPr/>
          <w:p>
            <w:pPr>
              <w:pStyle w:val="Compact"/>
              <w:jc w:val="left"/>
            </w:pPr>
            <w:r>
              <w:t xml:space="preserve">Project management software and tooling licenses (Jira, MS Project, Confluence)</w:t>
            </w:r>
          </w:p>
        </w:tc>
        <w:tc>
          <w:tcPr/>
          <w:p>
            <w:pPr>
              <w:pStyle w:val="Compact"/>
              <w:jc w:val="left"/>
            </w:pPr>
            <w:r>
              <w:t xml:space="preserve">1,250.00</w:t>
            </w:r>
          </w:p>
        </w:tc>
        <w:tc>
          <w:tcPr/>
          <w:p>
            <w:pPr>
              <w:pStyle w:val="Compact"/>
              <w:jc w:val="left"/>
            </w:pPr>
            <w:r>
              <w:t xml:space="preserve">15,000.00</w:t>
            </w:r>
          </w:p>
        </w:tc>
      </w:tr>
      <w:tr>
        <w:tc>
          <w:tcPr/>
          <w:p>
            <w:pPr>
              <w:pStyle w:val="Compact"/>
              <w:jc w:val="left"/>
            </w:pPr>
            <w:r>
              <w:t xml:space="preserve">3</w:t>
            </w:r>
          </w:p>
        </w:tc>
        <w:tc>
          <w:tcPr/>
          <w:p>
            <w:pPr>
              <w:pStyle w:val="Compact"/>
              <w:jc w:val="left"/>
            </w:pPr>
            <w:r>
              <w:t xml:space="preserve">Travel and local transportation within the Zurich metropolitan area</w:t>
            </w:r>
          </w:p>
        </w:tc>
        <w:tc>
          <w:tcPr/>
          <w:p>
            <w:pPr>
              <w:pStyle w:val="Compact"/>
              <w:jc w:val="left"/>
            </w:pPr>
            <w:r>
              <w:t xml:space="preserve">800.00</w:t>
            </w:r>
          </w:p>
        </w:tc>
        <w:tc>
          <w:tcPr/>
          <w:p>
            <w:pPr>
              <w:pStyle w:val="Compact"/>
              <w:jc w:val="left"/>
            </w:pPr>
            <w:r>
              <w:t xml:space="preserve">9,600.00</w:t>
            </w:r>
          </w:p>
        </w:tc>
      </w:tr>
      <w:tr>
        <w:tc>
          <w:tcPr/>
          <w:p>
            <w:pPr>
              <w:pStyle w:val="Compact"/>
              <w:jc w:val="left"/>
            </w:pPr>
            <w:r>
              <w:t xml:space="preserve">4</w:t>
            </w:r>
          </w:p>
        </w:tc>
        <w:tc>
          <w:tcPr/>
          <w:p>
            <w:pPr>
              <w:pStyle w:val="Compact"/>
              <w:jc w:val="left"/>
            </w:pPr>
            <w:r>
              <w:t xml:space="preserve">Administrative support and office overhead allocation</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5</w:t>
            </w:r>
          </w:p>
        </w:tc>
        <w:tc>
          <w:tcPr/>
          <w:p>
            <w:pPr>
              <w:pStyle w:val="Compact"/>
              <w:jc w:val="left"/>
            </w:pPr>
            <w:r>
              <w:t xml:space="preserve">Contingency and change management reserve (5%)</w:t>
            </w:r>
          </w:p>
        </w:tc>
        <w:tc>
          <w:tcPr/>
          <w:p>
            <w:pPr>
              <w:pStyle w:val="Compact"/>
              <w:jc w:val="left"/>
            </w:pPr>
            <w:r>
              <w:t xml:space="preserve">1,147.50</w:t>
            </w:r>
          </w:p>
        </w:tc>
        <w:tc>
          <w:tcPr/>
          <w:p>
            <w:pPr>
              <w:pStyle w:val="Compact"/>
              <w:jc w:val="left"/>
            </w:pPr>
            <w:r>
              <w:t xml:space="preserve">13,770.00</w:t>
            </w:r>
          </w:p>
        </w:tc>
      </w:tr>
      <w:tr>
        <w:tc>
          <w:tcPr>
            <w:gridSpan w:val="2"/>
          </w:tcPr>
          <w:p>
            <w:pPr>
              <w:pStyle w:val="Compact"/>
              <w:jc w:val="left"/>
            </w:pPr>
            <w:r>
              <w:rPr>
                <w:bCs/>
                <w:b/>
              </w:rPr>
              <w:t xml:space="preserve">TOTAL ESTIMATED COST (incl. 8.1% VAT)</w:t>
            </w:r>
          </w:p>
        </w:tc>
        <w:tc>
          <w:tcPr/>
          <w:p>
            <w:pPr>
              <w:pStyle w:val="Compact"/>
              <w:jc w:val="left"/>
            </w:pPr>
            <w:r>
              <w:rPr>
                <w:bCs/>
                <w:b/>
              </w:rPr>
              <w:t xml:space="preserve">23,097.50</w:t>
            </w:r>
          </w:p>
        </w:tc>
        <w:tc>
          <w:tcPr/>
          <w:p>
            <w:pPr>
              <w:pStyle w:val="Compact"/>
              <w:jc w:val="left"/>
            </w:pPr>
            <w:r>
              <w:rPr>
                <w:bCs/>
                <w:b/>
              </w:rPr>
              <w:t xml:space="preserve">277,170.00</w:t>
            </w:r>
          </w:p>
        </w:tc>
      </w:tr>
    </w:tbl>
    <w:p>
      <w:pPr>
        <w:pStyle w:val="BodyText"/>
      </w:pPr>
      <w:r>
        <w:rPr>
          <w:bCs/>
          <w:b/>
        </w:rPr>
        <w:t xml:space="preserve">Note:</w:t>
      </w:r>
      <w:r>
        <w:t xml:space="preserve"> </w:t>
      </w:r>
      <w:r>
        <w:t xml:space="preserve">This Quotation Estimate assumes a standard 5-day work week in Switzerland Zurich. Overtime beyond 45 hours per week will be billed at 1.5x the hourly rate of CHF 115.00. All costs are subject to annual review in accordance with the Zurich cost-of-living index.</w:t>
      </w:r>
    </w:p>
    <w:bookmarkEnd w:id="24"/>
    <w:bookmarkStart w:id="25" w:name="payment-terms-and-conditions"/>
    <w:p>
      <w:pPr>
        <w:pStyle w:val="Heading2"/>
      </w:pPr>
      <w:r>
        <w:t xml:space="preserve">5. Payment Terms and Conditions</w:t>
      </w:r>
    </w:p>
    <w:p>
      <w:pPr>
        <w:numPr>
          <w:ilvl w:val="0"/>
          <w:numId w:val="1002"/>
        </w:numPr>
        <w:pStyle w:val="Compact"/>
      </w:pPr>
      <w:r>
        <w:t xml:space="preserve">Invoices shall be issued on the last working day of each calendar month and are payable within 30 days via bank transfer to the provider's account at a Swiss financial institution.</w:t>
      </w:r>
    </w:p>
    <w:p>
      <w:pPr>
        <w:numPr>
          <w:ilvl w:val="0"/>
          <w:numId w:val="1002"/>
        </w:numPr>
        <w:pStyle w:val="Compact"/>
      </w:pPr>
      <w:r>
        <w:t xml:space="preserve">A mobilization fee of 10% of the total annual amount (CHF 27,717.00) is due upon contract signature and prior to the commencement of the Project Manager engagement.</w:t>
      </w:r>
    </w:p>
    <w:p>
      <w:pPr>
        <w:numPr>
          <w:ilvl w:val="0"/>
          <w:numId w:val="1002"/>
        </w:numPr>
        <w:pStyle w:val="Compact"/>
      </w:pPr>
      <w:r>
        <w:t xml:space="preserve">Late payments shall incur interest at the statutory rate of 5% per annum as defined under Article 104 of the Swiss Code of Obligations.</w:t>
      </w:r>
    </w:p>
    <w:p>
      <w:pPr>
        <w:numPr>
          <w:ilvl w:val="0"/>
          <w:numId w:val="1002"/>
        </w:numPr>
        <w:pStyle w:val="Compact"/>
      </w:pPr>
      <w:r>
        <w:t xml:space="preserve">All payments are to be made in Swiss Francs (CHF) to the IBAN account specified on each invoice. No foreign currency transactions are accepted under this Quotation Estimate.</w:t>
      </w:r>
    </w:p>
    <w:bookmarkEnd w:id="25"/>
    <w:bookmarkStart w:id="26" w:name="validity-acceptance-and-governing-law"/>
    <w:p>
      <w:pPr>
        <w:pStyle w:val="Heading2"/>
      </w:pPr>
      <w:r>
        <w:t xml:space="preserve">6. Validity, Acceptance, and Governing Law</w:t>
      </w:r>
    </w:p>
    <w:p>
      <w:pPr>
        <w:pStyle w:val="FirstParagraph"/>
      </w:pPr>
      <w:r>
        <w:t xml:space="preserve">This</w:t>
      </w:r>
      <w:r>
        <w:t xml:space="preserve"> </w:t>
      </w:r>
      <w:r>
        <w:t xml:space="preserve">Quotation Estimate</w:t>
      </w:r>
      <w:r>
        <w:t xml:space="preserve"> </w:t>
      </w:r>
      <w:r>
        <w:t xml:space="preserve">is valid for a period of thirty (30) calendar days from the date of issue. Acceptance of this quotation constitutes a binding agreement between the parties for the engagement of the</w:t>
      </w:r>
      <w:r>
        <w:t xml:space="preserve"> </w:t>
      </w:r>
      <w:r>
        <w:t xml:space="preserve">Project Manager</w:t>
      </w:r>
      <w:r>
        <w:t xml:space="preserve"> </w:t>
      </w:r>
      <w:r>
        <w:t xml:space="preserve">in</w:t>
      </w:r>
      <w:r>
        <w:t xml:space="preserve"> </w:t>
      </w:r>
      <w:r>
        <w:t xml:space="preserve">Switzerland Zurich</w:t>
      </w:r>
      <w:r>
        <w:t xml:space="preserve"> </w:t>
      </w:r>
      <w:r>
        <w:t xml:space="preserve">under the terms and conditions set forth herein.</w:t>
      </w:r>
    </w:p>
    <w:p>
      <w:pPr>
        <w:pStyle w:val="BodyText"/>
      </w:pPr>
      <w:r>
        <w:t xml:space="preserve">This agreement shall be governed by and construed in accordance with the laws of the Swiss Confederation, with the canton of Zurich serving as the exclusive venue for any disputes. The Swiss Code of Obligations (OR) and the Swiss Civil Code (ZGB) shall apply to all matters not explicitly addressed in this document.</w:t>
      </w:r>
    </w:p>
    <w:p>
      <w:pPr>
        <w:pStyle w:val="BodyText"/>
      </w:pPr>
      <w:r>
        <w:t xml:space="preserve">Either party may terminate the engagement with a written notice period of sixty (60) days. In the event of early termination, the client shall be liable for all fees accrued up to the termination date plus a non-refundable mobilization fee of 15% of the remaining contract value.</w:t>
      </w:r>
    </w:p>
    <w:bookmarkEnd w:id="26"/>
    <w:bookmarkStart w:id="27" w:name="confidentiality-and-data-protection"/>
    <w:p>
      <w:pPr>
        <w:pStyle w:val="Heading2"/>
      </w:pPr>
      <w:r>
        <w:t xml:space="preserve">7. Confidentiality and Data Protection</w:t>
      </w:r>
    </w:p>
    <w:p>
      <w:pPr>
        <w:pStyle w:val="FirstParagraph"/>
      </w:pPr>
      <w:r>
        <w:t xml:space="preserve">The</w:t>
      </w:r>
      <w:r>
        <w:t xml:space="preserve"> </w:t>
      </w:r>
      <w:r>
        <w:t xml:space="preserve">Project Manager</w:t>
      </w:r>
      <w:r>
        <w:t xml:space="preserve"> </w:t>
      </w:r>
      <w:r>
        <w:t xml:space="preserve">shall adhere to strict confidentiality obligations in accordance with the Swiss Federal Act on Data Protection (nFADP, SR 235.1). All project documentation, client data, and proprietary information handled during the engagement in</w:t>
      </w:r>
      <w:r>
        <w:t xml:space="preserve"> </w:t>
      </w:r>
      <w:r>
        <w:t xml:space="preserve">Switzerland Zurich</w:t>
      </w:r>
      <w:r>
        <w:t xml:space="preserve"> </w:t>
      </w:r>
      <w:r>
        <w:t xml:space="preserve">shall be treated as confidential and shall not be disclosed to third parties without prior written consent from the client.</w:t>
      </w:r>
    </w:p>
    <w:bookmarkEnd w:id="27"/>
    <w:p>
      <w:pPr>
        <w:pStyle w:val="BodyText"/>
      </w:pPr>
      <w:r>
        <w:rPr>
          <w:bCs/>
          <w:b/>
        </w:rPr>
        <w:t xml:space="preserve">For Helvetia Project Solutions AG</w:t>
      </w:r>
      <w:r>
        <w:br/>
      </w:r>
      <w:r>
        <w:t xml:space="preserve">Authorized Signatory</w:t>
      </w:r>
      <w:r>
        <w:br/>
      </w:r>
      <w:r>
        <w:t xml:space="preserve">Date: _______________</w:t>
      </w:r>
    </w:p>
    <w:p>
      <w:pPr>
        <w:pStyle w:val="BodyText"/>
      </w:pPr>
      <w:r>
        <w:rPr>
          <w:bCs/>
          <w:b/>
        </w:rPr>
        <w:t xml:space="preserve">For the Client</w:t>
      </w:r>
      <w:r>
        <w:br/>
      </w:r>
      <w:r>
        <w:t xml:space="preserve">Authorized Signatory</w:t>
      </w:r>
      <w:r>
        <w:br/>
      </w:r>
      <w:r>
        <w:t xml:space="preserve">Date: _______________</w:t>
      </w:r>
    </w:p>
    <w:p>
      <w:pPr>
        <w:pStyle w:val="BodyText"/>
      </w:pPr>
      <w:r>
        <w:t xml:space="preserve">Helvetia Project Solutions AG — Bahnhofstrasse 142, 8001 Zurich, Switzerland — CHE-123.456.789</w:t>
      </w:r>
      <w:r>
        <w:br/>
      </w:r>
      <w:r>
        <w:t xml:space="preserve">This Quotation Estimate is a confidential commercial document. Unauthorized reproduction or distribution is prohibited under Swiss law.</w:t>
      </w:r>
      <w:r>
        <w:br/>
      </w:r>
      <w:r>
        <w:t xml:space="preserve">Document ID: QE-ZRH-2025-0472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Switzerland Zurich</dc:title>
  <dc:creator/>
  <dc:language>en</dc:language>
  <cp:keywords/>
  <dcterms:created xsi:type="dcterms:W3CDTF">2026-10-10T04:06:17Z</dcterms:created>
  <dcterms:modified xsi:type="dcterms:W3CDTF">2026-10-10T04:06:17Z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