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Thailand</w:t>
      </w:r>
      <w:r>
        <w:t xml:space="preserve"> </w:t>
      </w:r>
      <w:r>
        <w:t xml:space="preserve">Bangkok</w:t>
      </w:r>
    </w:p>
    <w:bookmarkStart w:id="20" w:name="quotation-estimate"/>
    <w:p>
      <w:pPr>
        <w:pStyle w:val="Heading1"/>
      </w:pPr>
      <w:r>
        <w:t xml:space="preserve">QUOTATION ESTIMATE</w:t>
      </w:r>
    </w:p>
    <w:p>
      <w:pPr>
        <w:pStyle w:val="FirstParagraph"/>
      </w:pPr>
      <w:r>
        <w:t xml:space="preserve">Professional Project Manager Services — Thailand Bangkok</w:t>
      </w:r>
    </w:p>
    <w:p>
      <w:pPr>
        <w:pStyle w:val="BodyText"/>
      </w:pPr>
      <w:r>
        <w:t xml:space="preserve">Ref: QTE-BKK-2025-0417 | Valid Until: 30 June 2025</w:t>
      </w:r>
    </w:p>
    <w:bookmarkEnd w:id="20"/>
    <w:p>
      <w:pPr>
        <w:pStyle w:val="BodyText"/>
      </w:pPr>
      <w:r>
        <w:rPr>
          <w:bCs/>
          <w:b/>
        </w:rPr>
        <w:t xml:space="preserve">Prepared By:</w:t>
      </w:r>
      <w:r>
        <w:br/>
      </w:r>
      <w:r>
        <w:t xml:space="preserve">Siam Professional Services Co., Ltd.</w:t>
      </w:r>
      <w:r>
        <w:br/>
      </w:r>
      <w:r>
        <w:t xml:space="preserve">88/12 Sukhumvit Road, Klongtoey</w:t>
      </w:r>
      <w:r>
        <w:br/>
      </w:r>
      <w:r>
        <w:t xml:space="preserve">Bangkok 10110, Thailand</w:t>
      </w:r>
      <w:r>
        <w:br/>
      </w:r>
      <w:r>
        <w:t xml:space="preserve">Tel: +66 2 255 0148</w:t>
      </w:r>
      <w:r>
        <w:br/>
      </w:r>
      <w:r>
        <w:t xml:space="preserve">Email: quotations@siamproservices.co.th</w:t>
      </w:r>
    </w:p>
    <w:p>
      <w:pPr>
        <w:pStyle w:val="BodyText"/>
      </w:pPr>
      <w:r>
        <w:rPr>
          <w:bCs/>
          <w:b/>
        </w:rPr>
        <w:t xml:space="preserve">Prepared For:</w:t>
      </w:r>
      <w:r>
        <w:br/>
      </w:r>
      <w:r>
        <w:t xml:space="preserve">[Client Company Name]</w:t>
      </w:r>
      <w:r>
        <w:br/>
      </w:r>
      <w:r>
        <w:t xml:space="preserve">[Client Address]</w:t>
      </w:r>
      <w:r>
        <w:br/>
      </w:r>
      <w:r>
        <w:t xml:space="preserve">Bangkok, Thailand</w:t>
      </w:r>
      <w:r>
        <w:br/>
      </w:r>
      <w:r>
        <w:t xml:space="preserve">Contact: [Client Contact Person]</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Siam Professional Services Co., Ltd. to provide a comprehensive and transparent financial proposal for the engagement of a dedicated</w:t>
      </w:r>
      <w:r>
        <w:t xml:space="preserve"> </w:t>
      </w:r>
      <w:r>
        <w:t xml:space="preserve">Project Manager</w:t>
      </w:r>
      <w:r>
        <w:t xml:space="preserve"> </w:t>
      </w:r>
      <w:r>
        <w:t xml:space="preserve">to oversee and deliver a client-specified project within the</w:t>
      </w:r>
      <w:r>
        <w:t xml:space="preserve"> </w:t>
      </w:r>
      <w:r>
        <w:t xml:space="preserve">Thailand Bangkok</w:t>
      </w:r>
      <w:r>
        <w:t xml:space="preserve"> </w:t>
      </w:r>
      <w:r>
        <w:t xml:space="preserve">metropolitan area. This document outlines the scope of services, deliverables, pricing structure, payment terms, and conditions governing the professional relationship between the parties. The</w:t>
      </w:r>
      <w:r>
        <w:t xml:space="preserve"> </w:t>
      </w:r>
      <w:r>
        <w:t xml:space="preserve">Quotation Estimate</w:t>
      </w:r>
      <w:r>
        <w:t xml:space="preserve"> </w:t>
      </w:r>
      <w:r>
        <w:t xml:space="preserve">is valid for a period of thirty (30) calendar days from the date of issue, after which pricing may be subject to revision based on market conditions in the</w:t>
      </w:r>
      <w:r>
        <w:t xml:space="preserve"> </w:t>
      </w:r>
      <w:r>
        <w:t xml:space="preserve">Thailand Bangkok</w:t>
      </w:r>
      <w:r>
        <w:t xml:space="preserve"> </w:t>
      </w:r>
      <w:r>
        <w:t xml:space="preserve">professional services sector.</w:t>
      </w:r>
    </w:p>
    <w:bookmarkEnd w:id="21"/>
    <w:bookmarkStart w:id="22" w:name="X98d2de802d335042e5d503f69772bbc81a70d17"/>
    <w:p>
      <w:pPr>
        <w:pStyle w:val="Heading2"/>
      </w:pPr>
      <w:r>
        <w:t xml:space="preserve">2. Scope of Services — Project Manager Engagement</w:t>
      </w:r>
    </w:p>
    <w:p>
      <w:pPr>
        <w:pStyle w:val="FirstParagraph"/>
      </w:pPr>
      <w:r>
        <w:t xml:space="preserve">The</w:t>
      </w:r>
      <w:r>
        <w:t xml:space="preserve"> </w:t>
      </w:r>
      <w:r>
        <w:t xml:space="preserve">Project Manager</w:t>
      </w:r>
      <w:r>
        <w:t xml:space="preserve"> </w:t>
      </w:r>
      <w:r>
        <w:t xml:space="preserve">engaged under this</w:t>
      </w:r>
      <w:r>
        <w:t xml:space="preserve"> </w:t>
      </w:r>
      <w:r>
        <w:t xml:space="preserve">Quotation Estimate</w:t>
      </w:r>
      <w:r>
        <w:t xml:space="preserve"> </w:t>
      </w:r>
      <w:r>
        <w:t xml:space="preserve">shall provide full-spectrum project management services tailored to the operational and strategic needs of the client. The engagement is specifically designed for projects executed within</w:t>
      </w:r>
      <w:r>
        <w:t xml:space="preserve"> </w:t>
      </w:r>
      <w:r>
        <w:t xml:space="preserve">Thailand Bangkok</w:t>
      </w:r>
      <w:r>
        <w:t xml:space="preserve">, taking into account local regulatory frameworks, cultural business practices, and the unique logistical considerations of the Bangkok metropolitan region.</w:t>
      </w:r>
    </w:p>
    <w:p>
      <w:pPr>
        <w:pStyle w:val="BodyText"/>
      </w:pPr>
      <w:r>
        <w:t xml:space="preserve">The</w:t>
      </w:r>
      <w:r>
        <w:t xml:space="preserve"> </w:t>
      </w:r>
      <w:r>
        <w:t xml:space="preserve">Project Manager</w:t>
      </w:r>
      <w:r>
        <w:t xml:space="preserve"> </w:t>
      </w:r>
      <w:r>
        <w:t xml:space="preserve">shall be responsible for the following core activities:</w:t>
      </w:r>
    </w:p>
    <w:p>
      <w:pPr>
        <w:numPr>
          <w:ilvl w:val="0"/>
          <w:numId w:val="1001"/>
        </w:numPr>
        <w:pStyle w:val="Compact"/>
      </w:pPr>
      <w:r>
        <w:t xml:space="preserve">Development and maintenance of a detailed project plan, including work breakdown structures, Gantt charts, and milestone tracking, aligned with the client's objectives for the</w:t>
      </w:r>
      <w:r>
        <w:t xml:space="preserve"> </w:t>
      </w:r>
      <w:r>
        <w:t xml:space="preserve">Thailand Bangkok</w:t>
      </w:r>
      <w:r>
        <w:t xml:space="preserve"> </w:t>
      </w:r>
      <w:r>
        <w:t xml:space="preserve">project site.</w:t>
      </w:r>
    </w:p>
    <w:p>
      <w:pPr>
        <w:numPr>
          <w:ilvl w:val="0"/>
          <w:numId w:val="1001"/>
        </w:numPr>
        <w:pStyle w:val="Compact"/>
      </w:pPr>
      <w:r>
        <w:t xml:space="preserve">Coordination and supervision of all subcontractors, vendors, and third-party service providers operating within the</w:t>
      </w:r>
      <w:r>
        <w:t xml:space="preserve"> </w:t>
      </w:r>
      <w:r>
        <w:t xml:space="preserve">Thailand Bangkok</w:t>
      </w:r>
      <w:r>
        <w:t xml:space="preserve"> </w:t>
      </w:r>
      <w:r>
        <w:t xml:space="preserve">area.</w:t>
      </w:r>
    </w:p>
    <w:p>
      <w:pPr>
        <w:numPr>
          <w:ilvl w:val="0"/>
          <w:numId w:val="1001"/>
        </w:numPr>
        <w:pStyle w:val="Compact"/>
      </w:pPr>
      <w:r>
        <w:t xml:space="preserve">Management of project budgets, cost forecasting, and financial reporting in accordance with Thai accounting standards and the client's internal financial policies.</w:t>
      </w:r>
    </w:p>
    <w:p>
      <w:pPr>
        <w:numPr>
          <w:ilvl w:val="0"/>
          <w:numId w:val="1001"/>
        </w:numPr>
        <w:pStyle w:val="Compact"/>
      </w:pPr>
      <w:r>
        <w:t xml:space="preserve">Stakeholder communication and reporting, including weekly progress reports, monthly executive summaries, and ad-hoc briefing sessions conducted at the client's Bangkok office or the project site.</w:t>
      </w:r>
    </w:p>
    <w:p>
      <w:pPr>
        <w:numPr>
          <w:ilvl w:val="0"/>
          <w:numId w:val="1001"/>
        </w:numPr>
        <w:pStyle w:val="Compact"/>
      </w:pPr>
      <w:r>
        <w:t xml:space="preserve">Risk identification, assessment, and mitigation planning specific to the</w:t>
      </w:r>
      <w:r>
        <w:t xml:space="preserve"> </w:t>
      </w:r>
      <w:r>
        <w:t xml:space="preserve">Thailand Bangkok</w:t>
      </w:r>
      <w:r>
        <w:t xml:space="preserve"> </w:t>
      </w:r>
      <w:r>
        <w:t xml:space="preserve">operational environment, including weather-related delays, regulatory compliance with the Department of Business Development, and local labor regulations.</w:t>
      </w:r>
    </w:p>
    <w:p>
      <w:pPr>
        <w:numPr>
          <w:ilvl w:val="0"/>
          <w:numId w:val="1001"/>
        </w:numPr>
        <w:pStyle w:val="Compact"/>
      </w:pPr>
      <w:r>
        <w:t xml:space="preserve">Quality assurance and quality control oversight to ensure all deliverables meet the specifications outlined in the project charter.</w:t>
      </w:r>
    </w:p>
    <w:p>
      <w:pPr>
        <w:numPr>
          <w:ilvl w:val="0"/>
          <w:numId w:val="1001"/>
        </w:numPr>
        <w:pStyle w:val="Compact"/>
      </w:pPr>
      <w:r>
        <w:t xml:space="preserve">Facilitation of change management processes, including the preparation of change orders and their impact on the overall</w:t>
      </w:r>
      <w:r>
        <w:t xml:space="preserve"> </w:t>
      </w:r>
      <w:r>
        <w:t xml:space="preserve">Quotation Estimate</w:t>
      </w:r>
      <w:r>
        <w:t xml:space="preserve"> </w:t>
      </w:r>
      <w:r>
        <w:t xml:space="preserve">and project timeline.</w:t>
      </w:r>
    </w:p>
    <w:p>
      <w:pPr>
        <w:numPr>
          <w:ilvl w:val="0"/>
          <w:numId w:val="1001"/>
        </w:numPr>
        <w:pStyle w:val="Compact"/>
      </w:pPr>
      <w:r>
        <w:t xml:space="preserve">Final project closeout, including documentation handover, lessons-learned workshops, and post-implementation support for a period of thirty (30) days.</w:t>
      </w:r>
    </w:p>
    <w:bookmarkEnd w:id="22"/>
    <w:bookmarkStart w:id="23" w:name="quotation-estimate-detailed-pricing"/>
    <w:p>
      <w:pPr>
        <w:pStyle w:val="Heading2"/>
      </w:pPr>
      <w:r>
        <w:t xml:space="preserve">3. Quotation Estimate — Detailed Pricing</w:t>
      </w:r>
    </w:p>
    <w:p>
      <w:pPr>
        <w:pStyle w:val="FirstParagraph"/>
      </w:pPr>
      <w:r>
        <w:t xml:space="preserve">The following</w:t>
      </w:r>
      <w:r>
        <w:t xml:space="preserve"> </w:t>
      </w:r>
      <w:r>
        <w:t xml:space="preserve">Quotation Estimate</w:t>
      </w:r>
      <w:r>
        <w:t xml:space="preserve"> </w:t>
      </w:r>
      <w:r>
        <w:t xml:space="preserve">reflects the total cost for the</w:t>
      </w:r>
      <w:r>
        <w:t xml:space="preserve"> </w:t>
      </w:r>
      <w:r>
        <w:t xml:space="preserve">Project Manager</w:t>
      </w:r>
      <w:r>
        <w:t xml:space="preserve"> </w:t>
      </w:r>
      <w:r>
        <w:t xml:space="preserve">engagement over the anticipated project duration of twelve (12) months in</w:t>
      </w:r>
      <w:r>
        <w:t xml:space="preserve"> </w:t>
      </w:r>
      <w:r>
        <w:t xml:space="preserve">Thailand Bangkok</w:t>
      </w:r>
      <w:r>
        <w:t xml:space="preserve">. All prices are quoted in Thai Baht (THB) and are inclusive of 7% Value Added Tax (VAT) as mandated by the Revenue Department of Thailand.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Duration / Qty</w:t>
            </w:r>
          </w:p>
        </w:tc>
        <w:tc>
          <w:tcPr/>
          <w:p>
            <w:pPr>
              <w:pStyle w:val="Compact"/>
              <w:jc w:val="left"/>
            </w:pPr>
            <w:r>
              <w:t xml:space="preserve">Unit Rate (THB)</w:t>
            </w:r>
          </w:p>
        </w:tc>
        <w:tc>
          <w:tcPr/>
          <w:p>
            <w:pPr>
              <w:pStyle w:val="Compact"/>
              <w:jc w:val="left"/>
            </w:pPr>
            <w:r>
              <w:t xml:space="preserve">Amount (THB)</w:t>
            </w:r>
          </w:p>
        </w:tc>
      </w:tr>
      <w:tr>
        <w:tc>
          <w:tcPr/>
          <w:p>
            <w:pPr>
              <w:pStyle w:val="Compact"/>
              <w:jc w:val="left"/>
            </w:pPr>
            <w:r>
              <w:t xml:space="preserve">1</w:t>
            </w:r>
          </w:p>
        </w:tc>
        <w:tc>
          <w:tcPr/>
          <w:p>
            <w:pPr>
              <w:pStyle w:val="Compact"/>
              <w:jc w:val="left"/>
            </w:pPr>
            <w:r>
              <w:t xml:space="preserve">Senior Project Manager — Monthly Professional Fee (includes planning, coordination, reporting, and on-site supervision in Bangkok)</w:t>
            </w:r>
          </w:p>
        </w:tc>
        <w:tc>
          <w:tcPr/>
          <w:p>
            <w:pPr>
              <w:pStyle w:val="Compact"/>
              <w:jc w:val="left"/>
            </w:pPr>
            <w:r>
              <w:t xml:space="preserve">12 months</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2</w:t>
            </w:r>
          </w:p>
        </w:tc>
        <w:tc>
          <w:tcPr/>
          <w:p>
            <w:pPr>
              <w:pStyle w:val="Compact"/>
              <w:jc w:val="left"/>
            </w:pPr>
            <w:r>
              <w:t xml:space="preserve">Project Management Office (PMO) Setup — Initial mobilization, tooling, and documentation framework for the Thailand Bangkok project</w:t>
            </w:r>
          </w:p>
        </w:tc>
        <w:tc>
          <w:tcPr/>
          <w:p>
            <w:pPr>
              <w:pStyle w:val="Compact"/>
              <w:jc w:val="left"/>
            </w:pPr>
            <w:r>
              <w:t xml:space="preserve">One-time</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3</w:t>
            </w:r>
          </w:p>
        </w:tc>
        <w:tc>
          <w:tcPr/>
          <w:p>
            <w:pPr>
              <w:pStyle w:val="Compact"/>
              <w:jc w:val="left"/>
            </w:pPr>
            <w:r>
              <w:t xml:space="preserve">Travel and Local Transportation — Project Manager commuting between Bangkok office and project sites within the Bangkok Metropolitan Region</w:t>
            </w:r>
          </w:p>
        </w:tc>
        <w:tc>
          <w:tcPr/>
          <w:p>
            <w:pPr>
              <w:pStyle w:val="Compact"/>
              <w:jc w:val="left"/>
            </w:pPr>
            <w:r>
              <w:t xml:space="preserve">12 months</w:t>
            </w:r>
          </w:p>
        </w:tc>
        <w:tc>
          <w:tcPr/>
          <w:p>
            <w:pPr>
              <w:pStyle w:val="Compact"/>
              <w:jc w:val="left"/>
            </w:pPr>
            <w:r>
              <w:t xml:space="preserve">15,000</w:t>
            </w:r>
          </w:p>
        </w:tc>
        <w:tc>
          <w:tcPr/>
          <w:p>
            <w:pPr>
              <w:pStyle w:val="Compact"/>
              <w:jc w:val="left"/>
            </w:pPr>
            <w:r>
              <w:t xml:space="preserve">180,000</w:t>
            </w:r>
          </w:p>
        </w:tc>
      </w:tr>
      <w:tr>
        <w:tc>
          <w:tcPr/>
          <w:p>
            <w:pPr>
              <w:pStyle w:val="Compact"/>
              <w:jc w:val="left"/>
            </w:pPr>
            <w:r>
              <w:t xml:space="preserve">4</w:t>
            </w:r>
          </w:p>
        </w:tc>
        <w:tc>
          <w:tcPr/>
          <w:p>
            <w:pPr>
              <w:pStyle w:val="Compact"/>
              <w:jc w:val="left"/>
            </w:pPr>
            <w:r>
              <w:t xml:space="preserve">Project Management Software License — Annual subscription for scheduling, resource, and document management tools</w:t>
            </w:r>
          </w:p>
        </w:tc>
        <w:tc>
          <w:tcPr/>
          <w:p>
            <w:pPr>
              <w:pStyle w:val="Compact"/>
              <w:jc w:val="left"/>
            </w:pPr>
            <w:r>
              <w:t xml:space="preserve">1 year</w:t>
            </w:r>
          </w:p>
        </w:tc>
        <w:tc>
          <w:tcPr/>
          <w:p>
            <w:pPr>
              <w:pStyle w:val="Compact"/>
              <w:jc w:val="left"/>
            </w:pPr>
            <w:r>
              <w:t xml:space="preserve">48,000</w:t>
            </w:r>
          </w:p>
        </w:tc>
        <w:tc>
          <w:tcPr/>
          <w:p>
            <w:pPr>
              <w:pStyle w:val="Compact"/>
              <w:jc w:val="left"/>
            </w:pPr>
            <w:r>
              <w:t xml:space="preserve">48,000</w:t>
            </w:r>
          </w:p>
        </w:tc>
      </w:tr>
      <w:tr>
        <w:tc>
          <w:tcPr/>
          <w:p>
            <w:pPr>
              <w:pStyle w:val="Compact"/>
              <w:jc w:val="left"/>
            </w:pPr>
            <w:r>
              <w:t xml:space="preserve">5</w:t>
            </w:r>
          </w:p>
        </w:tc>
        <w:tc>
          <w:tcPr/>
          <w:p>
            <w:pPr>
              <w:pStyle w:val="Compact"/>
              <w:jc w:val="left"/>
            </w:pPr>
            <w:r>
              <w:t xml:space="preserve">Regulatory Compliance &amp; Permitting Support — Assistance with local Bangkok municipal permits and Thai regulatory filings</w:t>
            </w:r>
          </w:p>
        </w:tc>
        <w:tc>
          <w:tcPr/>
          <w:p>
            <w:pPr>
              <w:pStyle w:val="Compact"/>
              <w:jc w:val="left"/>
            </w:pPr>
            <w:r>
              <w:t xml:space="preserve">12 months</w:t>
            </w:r>
          </w:p>
        </w:tc>
        <w:tc>
          <w:tcPr/>
          <w:p>
            <w:pPr>
              <w:pStyle w:val="Compact"/>
              <w:jc w:val="left"/>
            </w:pPr>
            <w:r>
              <w:t xml:space="preserve">35,000</w:t>
            </w:r>
          </w:p>
        </w:tc>
        <w:tc>
          <w:tcPr/>
          <w:p>
            <w:pPr>
              <w:pStyle w:val="Compact"/>
              <w:jc w:val="left"/>
            </w:pPr>
            <w:r>
              <w:t xml:space="preserve">420,000</w:t>
            </w:r>
          </w:p>
        </w:tc>
      </w:tr>
      <w:tr>
        <w:tc>
          <w:tcPr/>
          <w:p>
            <w:pPr>
              <w:pStyle w:val="Compact"/>
              <w:jc w:val="left"/>
            </w:pPr>
            <w:r>
              <w:t xml:space="preserve">6</w:t>
            </w:r>
          </w:p>
        </w:tc>
        <w:tc>
          <w:tcPr/>
          <w:p>
            <w:pPr>
              <w:pStyle w:val="Compact"/>
              <w:jc w:val="left"/>
            </w:pPr>
            <w:r>
              <w:t xml:space="preserve">Post-Implementation Support — Thirty (30) days of advisory support following project closeout in Thailand Bangkok</w:t>
            </w:r>
          </w:p>
        </w:tc>
        <w:tc>
          <w:tcPr/>
          <w:p>
            <w:pPr>
              <w:pStyle w:val="Compact"/>
              <w:jc w:val="left"/>
            </w:pPr>
            <w:r>
              <w:t xml:space="preserve">1 month</w:t>
            </w:r>
          </w:p>
        </w:tc>
        <w:tc>
          <w:tcPr/>
          <w:p>
            <w:pPr>
              <w:pStyle w:val="Compact"/>
              <w:jc w:val="left"/>
            </w:pPr>
            <w:r>
              <w:t xml:space="preserve">95,000</w:t>
            </w:r>
          </w:p>
        </w:tc>
        <w:tc>
          <w:tcPr/>
          <w:p>
            <w:pPr>
              <w:pStyle w:val="Compact"/>
              <w:jc w:val="left"/>
            </w:pPr>
            <w:r>
              <w:t xml:space="preserve">95,000</w:t>
            </w:r>
          </w:p>
        </w:tc>
      </w:tr>
      <w:tr>
        <w:tc>
          <w:tcPr>
            <w:gridSpan w:val="4"/>
          </w:tcPr>
          <w:p>
            <w:pPr>
              <w:pStyle w:val="Compact"/>
              <w:jc w:val="right"/>
            </w:pPr>
            <w:r>
              <w:t xml:space="preserve">Subtotal (excl. VAT)</w:t>
            </w:r>
          </w:p>
        </w:tc>
        <w:tc>
          <w:tcPr/>
          <w:p>
            <w:pPr>
              <w:pStyle w:val="Compact"/>
              <w:jc w:val="left"/>
            </w:pPr>
            <w:r>
              <w:t xml:space="preserve">3,083,000</w:t>
            </w:r>
          </w:p>
        </w:tc>
      </w:tr>
      <w:tr>
        <w:tc>
          <w:tcPr>
            <w:gridSpan w:val="4"/>
          </w:tcPr>
          <w:p>
            <w:pPr>
              <w:pStyle w:val="Compact"/>
              <w:jc w:val="right"/>
            </w:pPr>
            <w:r>
              <w:t xml:space="preserve">VAT (7%)</w:t>
            </w:r>
          </w:p>
        </w:tc>
        <w:tc>
          <w:tcPr/>
          <w:p>
            <w:pPr>
              <w:pStyle w:val="Compact"/>
              <w:jc w:val="left"/>
            </w:pPr>
            <w:r>
              <w:t xml:space="preserve">215,810</w:t>
            </w:r>
          </w:p>
        </w:tc>
      </w:tr>
      <w:tr>
        <w:tc>
          <w:tcPr>
            <w:gridSpan w:val="4"/>
          </w:tcPr>
          <w:p>
            <w:pPr>
              <w:pStyle w:val="Compact"/>
              <w:jc w:val="right"/>
            </w:pPr>
            <w:r>
              <w:t xml:space="preserve">TOTAL QUOTATION ESTIMATE (incl. VAT)</w:t>
            </w:r>
          </w:p>
        </w:tc>
        <w:tc>
          <w:tcPr/>
          <w:p>
            <w:pPr>
              <w:pStyle w:val="Compact"/>
              <w:jc w:val="left"/>
            </w:pPr>
            <w:r>
              <w:t xml:space="preserve">3,298,810</w:t>
            </w:r>
          </w:p>
        </w:tc>
      </w:tr>
    </w:tbl>
    <w:p>
      <w:pPr>
        <w:pStyle w:val="BodyText"/>
      </w:pPr>
      <w:r>
        <w:t xml:space="preserve">* All rates are fixed for the duration of this Quotation Estimate. Any scope changes beyond 10% of the original project value will trigger a revised Quotation Estimate issued within five (5) business days.</w:t>
      </w:r>
    </w:p>
    <w:bookmarkEnd w:id="23"/>
    <w:bookmarkStart w:id="24" w:name="payment-terms"/>
    <w:p>
      <w:pPr>
        <w:pStyle w:val="Heading2"/>
      </w:pPr>
      <w:r>
        <w:t xml:space="preserve">4. Payment Terms</w:t>
      </w:r>
    </w:p>
    <w:p>
      <w:pPr>
        <w:pStyle w:val="FirstParagraph"/>
      </w:pPr>
      <w:r>
        <w:t xml:space="preserve">Payment for the</w:t>
      </w:r>
      <w:r>
        <w:t xml:space="preserve"> </w:t>
      </w:r>
      <w:r>
        <w:t xml:space="preserve">Project Manager</w:t>
      </w:r>
      <w:r>
        <w:t xml:space="preserve"> </w:t>
      </w:r>
      <w:r>
        <w:t xml:space="preserve">services described in this</w:t>
      </w:r>
      <w:r>
        <w:t xml:space="preserve"> </w:t>
      </w:r>
      <w:r>
        <w:t xml:space="preserve">Quotation Estimate</w:t>
      </w:r>
      <w:r>
        <w:t xml:space="preserve"> </w:t>
      </w:r>
      <w:r>
        <w:t xml:space="preserve">shall be made on a monthly basis, invoiced on the first business day of each month for services rendered in the preceding month. Payment is due within thirty (30) days of the invoice date via bank transfer to the account designated by Siam Professional Services Co., Ltd. A late payment surcharge of 1.5% per month shall apply to outstanding balances. The initial PMO setup fee (Item 2) is payable upon execution of the service agreement. All payments are denominated in Thai Baht and subject to the prevailing tax regulations of</w:t>
      </w:r>
      <w:r>
        <w:t xml:space="preserve"> </w:t>
      </w:r>
      <w:r>
        <w:t xml:space="preserve">Thailand Bangkok</w:t>
      </w:r>
      <w:r>
        <w:t xml:space="preserve">.</w:t>
      </w:r>
    </w:p>
    <w:bookmarkEnd w:id="24"/>
    <w:bookmarkStart w:id="25" w:name="terms-and-conditions"/>
    <w:p>
      <w:pPr>
        <w:pStyle w:val="Heading2"/>
      </w:pPr>
      <w:r>
        <w:t xml:space="preserve">5. Terms and Conditions</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both parties have executed a formal Service Agreement incorporating the terms herein.</w:t>
      </w:r>
    </w:p>
    <w:p>
      <w:pPr>
        <w:numPr>
          <w:ilvl w:val="0"/>
          <w:numId w:val="1002"/>
        </w:numPr>
        <w:pStyle w:val="Compact"/>
      </w:pPr>
      <w:r>
        <w:t xml:space="preserve">The</w:t>
      </w:r>
      <w:r>
        <w:t xml:space="preserve"> </w:t>
      </w:r>
      <w:r>
        <w:t xml:space="preserve">Project Manager</w:t>
      </w:r>
      <w:r>
        <w:t xml:space="preserve"> </w:t>
      </w:r>
      <w:r>
        <w:t xml:space="preserve">shall devote a minimum of 80% of working hours to the client's project during the engagement period in</w:t>
      </w:r>
      <w:r>
        <w:t xml:space="preserve"> </w:t>
      </w:r>
      <w:r>
        <w:t xml:space="preserve">Thailand Bangkok</w:t>
      </w:r>
      <w:r>
        <w:t xml:space="preserve">.</w:t>
      </w:r>
    </w:p>
    <w:p>
      <w:pPr>
        <w:numPr>
          <w:ilvl w:val="0"/>
          <w:numId w:val="1002"/>
        </w:numPr>
        <w:pStyle w:val="Compact"/>
      </w:pPr>
      <w:r>
        <w:t xml:space="preserve">Either party may terminate the engagement with thirty (30) days' written notice. In such an event, the client shall be liable for all services rendered up to the termination date as reflected in this</w:t>
      </w:r>
      <w:r>
        <w:t xml:space="preserve"> </w:t>
      </w:r>
      <w:r>
        <w:t xml:space="preserve">Quotation Estimate</w:t>
      </w:r>
      <w:r>
        <w:t xml:space="preserve">.</w:t>
      </w:r>
    </w:p>
    <w:p>
      <w:pPr>
        <w:numPr>
          <w:ilvl w:val="0"/>
          <w:numId w:val="1002"/>
        </w:numPr>
        <w:pStyle w:val="Compact"/>
      </w:pPr>
      <w:r>
        <w:t xml:space="preserve">Confidentiality obligations shall survive the termination of this engagement for a period of two (2) years.</w:t>
      </w:r>
    </w:p>
    <w:p>
      <w:pPr>
        <w:numPr>
          <w:ilvl w:val="0"/>
          <w:numId w:val="1002"/>
        </w:numPr>
        <w:pStyle w:val="Compact"/>
      </w:pPr>
      <w:r>
        <w:t xml:space="preserve">All disputes arising from this</w:t>
      </w:r>
      <w:r>
        <w:t xml:space="preserve"> </w:t>
      </w:r>
      <w:r>
        <w:t xml:space="preserve">Quotation Estimate</w:t>
      </w:r>
      <w:r>
        <w:t xml:space="preserve"> </w:t>
      </w:r>
      <w:r>
        <w:t xml:space="preserve">or the subsequent Service Agreement shall be resolved in accordance with the laws of the Kingdom of Thailand, with jurisdiction vested in the competent courts of Bangkok.</w:t>
      </w:r>
    </w:p>
    <w:p>
      <w:pPr>
        <w:numPr>
          <w:ilvl w:val="0"/>
          <w:numId w:val="1002"/>
        </w:numPr>
        <w:pStyle w:val="Compact"/>
      </w:pPr>
      <w:r>
        <w:t xml:space="preserve">The</w:t>
      </w:r>
      <w:r>
        <w:t xml:space="preserve"> </w:t>
      </w:r>
      <w:r>
        <w:t xml:space="preserve">Project Manager</w:t>
      </w:r>
      <w:r>
        <w:t xml:space="preserve"> </w:t>
      </w:r>
      <w:r>
        <w:t xml:space="preserve">shall comply with all applicable Thai labor laws, occupational health and safety regulations, and local Bangkok municipal ordinances throughout the project duration.</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for</w:t>
      </w:r>
      <w:r>
        <w:t xml:space="preserve"> </w:t>
      </w:r>
      <w:r>
        <w:t xml:space="preserve">Project Manager</w:t>
      </w:r>
      <w:r>
        <w:t xml:space="preserve"> </w:t>
      </w:r>
      <w:r>
        <w:t xml:space="preserve">services in</w:t>
      </w:r>
      <w:r>
        <w:t xml:space="preserve"> </w:t>
      </w:r>
      <w:r>
        <w:t xml:space="preserve">Thailand Bangkok</w:t>
      </w:r>
      <w:r>
        <w:t xml:space="preserve"> </w:t>
      </w:r>
      <w:r>
        <w:t xml:space="preserve">and agrees to the pricing, scope, and terms outlined herein. This acceptance shall serve as the basis for the preparation of a formal Service Agreement by Siam Professional Services Co., Ltd.</w:t>
      </w:r>
    </w:p>
    <w:bookmarkEnd w:id="26"/>
    <w:p>
      <w:pPr>
        <w:pStyle w:val="BodyText"/>
      </w:pPr>
      <w:r>
        <w:rPr>
          <w:bCs/>
          <w:b/>
        </w:rPr>
        <w:t xml:space="preserve">For Siam Professional Services Co., Ltd.</w:t>
      </w:r>
      <w:r>
        <w:br/>
      </w:r>
      <w:r>
        <w:t xml:space="preserve">Name: _________________________</w:t>
      </w:r>
      <w:r>
        <w:br/>
      </w:r>
      <w:r>
        <w:t xml:space="preserve">Title: Director of Professional Services</w:t>
      </w:r>
      <w:r>
        <w:br/>
      </w:r>
      <w:r>
        <w:t xml:space="preserve">Date: _________________________</w:t>
      </w:r>
    </w:p>
    <w:p>
      <w:pPr>
        <w:pStyle w:val="BodyText"/>
      </w:pPr>
      <w:r>
        <w:rPr>
          <w:bCs/>
          <w:b/>
        </w:rPr>
        <w:t xml:space="preserve">For the Client</w:t>
      </w:r>
      <w:r>
        <w:br/>
      </w:r>
      <w:r>
        <w:t xml:space="preserve">Name: _________________________</w:t>
      </w:r>
      <w:r>
        <w:br/>
      </w:r>
      <w:r>
        <w:t xml:space="preserve">Title: _________________________</w:t>
      </w:r>
      <w:r>
        <w:br/>
      </w:r>
      <w:r>
        <w:t xml:space="preserve">Date: _________________________</w:t>
      </w:r>
    </w:p>
    <w:p>
      <w:pPr>
        <w:pStyle w:val="BodyText"/>
      </w:pPr>
      <w:r>
        <w:t xml:space="preserve">Siam Professional Services Co., Ltd. | 88/12 Sukhumvit Road, Klongtoey, Bangkok 10110, Thailand</w:t>
      </w:r>
      <w:r>
        <w:br/>
      </w:r>
      <w:r>
        <w:t xml:space="preserve">This Quotation Estimate is confidential and intended solely for the named recipient. Unauthorized distribution is prohibited.</w:t>
      </w:r>
      <w:r>
        <w:br/>
      </w:r>
      <w:r>
        <w:t xml:space="preserve">Document Ref: QTE-BKK-2025-0417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Project Manager Services - Thailand Bangkok</dc:title>
  <dc:creator/>
  <dc:language>en</dc:language>
  <cp:keywords/>
  <dcterms:created xsi:type="dcterms:W3CDTF">2026-10-10T03:10:45Z</dcterms:created>
  <dcterms:modified xsi:type="dcterms:W3CDTF">2026-10-10T03:10:45Z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