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United Arab Emirates — Abu Dhabi</w:t>
      </w:r>
    </w:p>
    <w:p>
      <w:pPr>
        <w:pStyle w:val="BodyText"/>
      </w:pPr>
      <w:r>
        <w:t xml:space="preserve">Ref: QE-ADM-2025-0472</w:t>
      </w:r>
    </w:p>
    <w:bookmarkEnd w:id="20"/>
    <w:p>
      <w:pPr>
        <w:pStyle w:val="BodyText"/>
      </w:pPr>
      <w:r>
        <w:rPr>
          <w:bCs/>
          <w:b/>
        </w:rPr>
        <w:t xml:space="preserve">Date of Issue:</w:t>
      </w:r>
      <w:r>
        <w:t xml:space="preserve"> </w:t>
      </w:r>
      <w:r>
        <w:t xml:space="preserve">15 June 2025</w:t>
      </w:r>
      <w:r>
        <w:br/>
      </w:r>
      <w:r>
        <w:rPr>
          <w:bCs/>
          <w:b/>
        </w:rPr>
        <w:t xml:space="preserve">Quotation Validity:</w:t>
      </w:r>
      <w:r>
        <w:t xml:space="preserve"> </w:t>
      </w:r>
      <w:r>
        <w:t xml:space="preserve">30 Days</w:t>
      </w:r>
      <w:r>
        <w:br/>
      </w:r>
      <w:r>
        <w:rPr>
          <w:bCs/>
          <w:b/>
        </w:rPr>
        <w:t xml:space="preserve">Prepared For:</w:t>
      </w:r>
      <w:r>
        <w:t xml:space="preserve"> </w:t>
      </w:r>
      <w:r>
        <w:t xml:space="preserve">Client Name / Organization</w:t>
      </w:r>
    </w:p>
    <w:p>
      <w:pPr>
        <w:pStyle w:val="BodyText"/>
      </w:pPr>
      <w:r>
        <w:rPr>
          <w:bCs/>
          <w:b/>
        </w:rPr>
        <w:t xml:space="preserve">Prepared By:</w:t>
      </w:r>
      <w:r>
        <w:t xml:space="preserve"> </w:t>
      </w:r>
      <w:r>
        <w:t xml:space="preserve">Meridian Consulting FZE</w:t>
      </w:r>
      <w:r>
        <w:br/>
      </w:r>
      <w:r>
        <w:rPr>
          <w:bCs/>
          <w:b/>
        </w:rPr>
        <w:t xml:space="preserve">Location:</w:t>
      </w:r>
      <w:r>
        <w:t xml:space="preserve"> </w:t>
      </w:r>
      <w:r>
        <w:t xml:space="preserve">Abu Dhabi, United Arab Emirates</w:t>
      </w:r>
      <w:r>
        <w:br/>
      </w:r>
      <w:r>
        <w:rPr>
          <w:bCs/>
          <w:b/>
        </w:rPr>
        <w:t xml:space="preserve">Contact:</w:t>
      </w:r>
      <w:r>
        <w:t xml:space="preserve"> </w:t>
      </w:r>
      <w:r>
        <w:t xml:space="preserve">quotes@meridianconsulting.ae</w:t>
      </w:r>
    </w:p>
    <w:bookmarkStart w:id="21" w:name="executive-summary"/>
    <w:p>
      <w:pPr>
        <w:pStyle w:val="Heading2"/>
      </w:pPr>
      <w:r>
        <w:t xml:space="preserve">1. Executive Summary</w:t>
      </w:r>
    </w:p>
    <w:p>
      <w:pPr>
        <w:pStyle w:val="FirstParagraph"/>
      </w:pPr>
      <w:r>
        <w:t xml:space="preserve">This</w:t>
      </w:r>
      <w:r>
        <w:t xml:space="preserve"> </w:t>
      </w:r>
      <w:r>
        <w:rPr>
          <w:bCs/>
          <w:b/>
        </w:rPr>
        <w:t xml:space="preserve">Quotation Estimate</w:t>
      </w:r>
      <w:r>
        <w:t xml:space="preserve"> </w:t>
      </w:r>
      <w:r>
        <w:t xml:space="preserve">is formally issued by Meridian Consulting FZE, a registered professional services firm operating in Abu Dhabi, United Arab Emirates, to provide comprehensive</w:t>
      </w:r>
      <w:r>
        <w:t xml:space="preserve"> </w:t>
      </w:r>
      <w:r>
        <w:rPr>
          <w:bCs/>
          <w:b/>
        </w:rPr>
        <w:t xml:space="preserve">Project Manager</w:t>
      </w:r>
      <w:r>
        <w:t xml:space="preserve"> </w:t>
      </w:r>
      <w:r>
        <w:t xml:space="preserve">engagement services. This document outlines the scope of work, deliverables, fee structure, and commercial terms associated with the deployment of a senior Project Manager to oversee and deliver the client's designated initiative. All rates and conditions referenced herein are specific to operations within the United Arab Emirates Abu Dhabi jurisdiction and comply with the regulatory framework established by the Abu Dhabi Department of Economic Development and the relevant federal labor and commercial laws of the UAE.</w:t>
      </w:r>
    </w:p>
    <w:bookmarkEnd w:id="21"/>
    <w:bookmarkStart w:id="22" w:name="scope-of-services"/>
    <w:p>
      <w:pPr>
        <w:pStyle w:val="Heading2"/>
      </w:pPr>
      <w:r>
        <w:t xml:space="preserve">2. Scope of Services</w:t>
      </w:r>
    </w:p>
    <w:p>
      <w:pPr>
        <w:pStyle w:val="FirstParagraph"/>
      </w:pPr>
      <w:r>
        <w:t xml:space="preserve">The Project Manager engaged under this Quotation Estimate shall be responsible for the following core functions throughout the project lifecycle in Abu Dhabi, United Arab Emirates:</w:t>
      </w:r>
    </w:p>
    <w:p>
      <w:pPr>
        <w:numPr>
          <w:ilvl w:val="0"/>
          <w:numId w:val="1001"/>
        </w:numPr>
        <w:pStyle w:val="Compact"/>
      </w:pPr>
      <w:r>
        <w:t xml:space="preserve">Development and maintenance of the master project plan, including work breakdown structures, critical path analysis, and resource allocation matrices.</w:t>
      </w:r>
    </w:p>
    <w:p>
      <w:pPr>
        <w:numPr>
          <w:ilvl w:val="0"/>
          <w:numId w:val="1001"/>
        </w:numPr>
        <w:pStyle w:val="Compact"/>
      </w:pPr>
      <w:r>
        <w:t xml:space="preserve">Coordination of all stakeholder communications, including but not limited to government authorities in Abu Dhabi, subcontractors, consultants, and the client's executive leadership team.</w:t>
      </w:r>
    </w:p>
    <w:p>
      <w:pPr>
        <w:numPr>
          <w:ilvl w:val="0"/>
          <w:numId w:val="1001"/>
        </w:numPr>
        <w:pStyle w:val="Compact"/>
      </w:pPr>
      <w:r>
        <w:t xml:space="preserve">End-to-end budget management, cost forecasting, and financial reporting in accordance with UAE accounting standards and IFRS requirements.</w:t>
      </w:r>
    </w:p>
    <w:p>
      <w:pPr>
        <w:numPr>
          <w:ilvl w:val="0"/>
          <w:numId w:val="1001"/>
        </w:numPr>
        <w:pStyle w:val="Compact"/>
      </w:pPr>
      <w:r>
        <w:t xml:space="preserve">Risk identification, assessment, mitigation planning, and ongoing monitoring aligned with ISO 31000 risk management principles.</w:t>
      </w:r>
    </w:p>
    <w:p>
      <w:pPr>
        <w:numPr>
          <w:ilvl w:val="0"/>
          <w:numId w:val="1001"/>
        </w:numPr>
        <w:pStyle w:val="Compact"/>
      </w:pPr>
      <w:r>
        <w:t xml:space="preserve">Quality assurance and quality control oversight to ensure all deliverables meet the specifications outlined in the project charter and applicable Abu Dhabi municipal and federal regulations.</w:t>
      </w:r>
    </w:p>
    <w:p>
      <w:pPr>
        <w:numPr>
          <w:ilvl w:val="0"/>
          <w:numId w:val="1001"/>
        </w:numPr>
        <w:pStyle w:val="Compact"/>
      </w:pPr>
      <w:r>
        <w:t xml:space="preserve">Progress tracking, milestone reporting, and the preparation of weekly and monthly status reports for the client's governance committee.</w:t>
      </w:r>
    </w:p>
    <w:p>
      <w:pPr>
        <w:numPr>
          <w:ilvl w:val="0"/>
          <w:numId w:val="1001"/>
        </w:numPr>
        <w:pStyle w:val="Compact"/>
      </w:pPr>
      <w:r>
        <w:t xml:space="preserve">Change management and scope control, including the formal processing of variation orders and their financial implications.</w:t>
      </w:r>
    </w:p>
    <w:p>
      <w:pPr>
        <w:numPr>
          <w:ilvl w:val="0"/>
          <w:numId w:val="1001"/>
        </w:numPr>
        <w:pStyle w:val="Compact"/>
      </w:pPr>
      <w:r>
        <w:t xml:space="preserve">Closeout management, including as-built documentation, handover protocols, and lessons-learned documentation.</w:t>
      </w:r>
    </w:p>
    <w:bookmarkEnd w:id="22"/>
    <w:bookmarkStart w:id="23" w:name="fee-structure-and-commercial-terms"/>
    <w:p>
      <w:pPr>
        <w:pStyle w:val="Heading2"/>
      </w:pPr>
      <w:r>
        <w:t xml:space="preserve">3. Fee Structure and Commercial Terms</w:t>
      </w:r>
    </w:p>
    <w:p>
      <w:pPr>
        <w:pStyle w:val="FirstParagraph"/>
      </w:pPr>
      <w:r>
        <w:t xml:space="preserve">The following Quotation Estimate details the professional fees for the Project Manager engagement. All amounts are stated in United Arab Emirates Dirhams (AED) and are inclusive of applicable Value Added Tax (VAT) at the prevailing rate of 5% as mandated by the Federal Tax Authority of the United Arab Emirates.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Senior Project Manager — Monthly Retainer (Full-time, 40 hrs/week, on-site in Abu Dhabi)</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Project Initiation &amp; Planning Phase (Kick-off, baseline development, stakeholder mapping)</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35,000</w:t>
            </w:r>
          </w:p>
        </w:tc>
      </w:tr>
      <w:tr>
        <w:tc>
          <w:tcPr/>
          <w:p>
            <w:pPr>
              <w:pStyle w:val="Compact"/>
              <w:jc w:val="left"/>
            </w:pPr>
            <w:r>
              <w:t xml:space="preserve">03</w:t>
            </w:r>
          </w:p>
        </w:tc>
        <w:tc>
          <w:tcPr/>
          <w:p>
            <w:pPr>
              <w:pStyle w:val="Compact"/>
              <w:jc w:val="left"/>
            </w:pPr>
            <w:r>
              <w:t xml:space="preserve">Monthly Progress Reporting &amp; Governance Meetings (4 meetings per month)</w:t>
            </w:r>
          </w:p>
        </w:tc>
        <w:tc>
          <w:tcPr/>
          <w:p>
            <w:pPr>
              <w:pStyle w:val="Compact"/>
              <w:jc w:val="left"/>
            </w:pPr>
            <w:r>
              <w:t xml:space="preserve">12 Months</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04</w:t>
            </w:r>
          </w:p>
        </w:tc>
        <w:tc>
          <w:tcPr/>
          <w:p>
            <w:pPr>
              <w:pStyle w:val="Compact"/>
              <w:jc w:val="left"/>
            </w:pPr>
            <w:r>
              <w:t xml:space="preserve">Risk Register Development &amp; Quarterly Risk Review Workshops</w:t>
            </w:r>
          </w:p>
        </w:tc>
        <w:tc>
          <w:tcPr/>
          <w:p>
            <w:pPr>
              <w:pStyle w:val="Compact"/>
              <w:jc w:val="left"/>
            </w:pPr>
            <w:r>
              <w:t xml:space="preserve">12 Months</w:t>
            </w:r>
          </w:p>
        </w:tc>
        <w:tc>
          <w:tcPr/>
          <w:p>
            <w:pPr>
              <w:pStyle w:val="Compact"/>
              <w:jc w:val="left"/>
            </w:pPr>
            <w:r>
              <w:t xml:space="preserve">2,800</w:t>
            </w:r>
          </w:p>
        </w:tc>
        <w:tc>
          <w:tcPr/>
          <w:p>
            <w:pPr>
              <w:pStyle w:val="Compact"/>
              <w:jc w:val="left"/>
            </w:pPr>
            <w:r>
              <w:t xml:space="preserve">33,600</w:t>
            </w:r>
          </w:p>
        </w:tc>
      </w:tr>
      <w:tr>
        <w:tc>
          <w:tcPr/>
          <w:p>
            <w:pPr>
              <w:pStyle w:val="Compact"/>
              <w:jc w:val="left"/>
            </w:pPr>
            <w:r>
              <w:t xml:space="preserve">05</w:t>
            </w:r>
          </w:p>
        </w:tc>
        <w:tc>
          <w:tcPr/>
          <w:p>
            <w:pPr>
              <w:pStyle w:val="Compact"/>
              <w:jc w:val="left"/>
            </w:pPr>
            <w:r>
              <w:t xml:space="preserve">Change Order Processing &amp; Scope Management (per instance, up to 10 instances)</w:t>
            </w:r>
          </w:p>
        </w:tc>
        <w:tc>
          <w:tcPr/>
          <w:p>
            <w:pPr>
              <w:pStyle w:val="Compact"/>
              <w:jc w:val="left"/>
            </w:pPr>
            <w:r>
              <w:t xml:space="preserve">As required</w:t>
            </w:r>
          </w:p>
        </w:tc>
        <w:tc>
          <w:tcPr/>
          <w:p>
            <w:pPr>
              <w:pStyle w:val="Compact"/>
              <w:jc w:val="left"/>
            </w:pPr>
            <w:r>
              <w:t xml:space="preserve">1,500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Project Closeout, Handover Documentation &amp; Final Report</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25,000</w:t>
            </w:r>
          </w:p>
        </w:tc>
      </w:tr>
      <w:tr>
        <w:tc>
          <w:tcPr/>
          <w:p>
            <w:pPr>
              <w:pStyle w:val="Compact"/>
              <w:jc w:val="left"/>
            </w:pPr>
            <w:r>
              <w:t xml:space="preserve">07</w:t>
            </w:r>
          </w:p>
        </w:tc>
        <w:tc>
          <w:tcPr/>
          <w:p>
            <w:pPr>
              <w:pStyle w:val="Compact"/>
              <w:jc w:val="left"/>
            </w:pPr>
            <w:r>
              <w:t xml:space="preserve">Travel &amp; Local Transportation within Abu Dhabi, United Arab Emirates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12,000</w:t>
            </w:r>
          </w:p>
        </w:tc>
      </w:tr>
      <w:tr>
        <w:tc>
          <w:tcPr>
            <w:gridSpan w:val="4"/>
          </w:tcPr>
          <w:p>
            <w:pPr>
              <w:pStyle w:val="Compact"/>
              <w:jc w:val="left"/>
            </w:pPr>
            <w:r>
              <w:t xml:space="preserve">Subtotal (AED)</w:t>
            </w:r>
          </w:p>
        </w:tc>
        <w:tc>
          <w:tcPr/>
          <w:p>
            <w:pPr>
              <w:pStyle w:val="Compact"/>
              <w:jc w:val="left"/>
            </w:pPr>
            <w:r>
              <w:t xml:space="preserve">702,600</w:t>
            </w:r>
          </w:p>
        </w:tc>
      </w:tr>
      <w:tr>
        <w:tc>
          <w:tcPr>
            <w:gridSpan w:val="4"/>
          </w:tcPr>
          <w:p>
            <w:pPr>
              <w:pStyle w:val="Compact"/>
              <w:jc w:val="left"/>
            </w:pPr>
            <w:r>
              <w:t xml:space="preserve">VAT @ 5% (AED)</w:t>
            </w:r>
          </w:p>
        </w:tc>
        <w:tc>
          <w:tcPr/>
          <w:p>
            <w:pPr>
              <w:pStyle w:val="Compact"/>
              <w:jc w:val="left"/>
            </w:pPr>
            <w:r>
              <w:t xml:space="preserve">35,130</w:t>
            </w:r>
          </w:p>
        </w:tc>
      </w:tr>
      <w:tr>
        <w:tc>
          <w:tcPr>
            <w:gridSpan w:val="4"/>
          </w:tcPr>
          <w:p>
            <w:pPr>
              <w:pStyle w:val="Compact"/>
              <w:jc w:val="left"/>
            </w:pPr>
            <w:r>
              <w:rPr>
                <w:bCs/>
                <w:b/>
              </w:rPr>
              <w:t xml:space="preserve">Grand Total (AED)</w:t>
            </w:r>
          </w:p>
        </w:tc>
        <w:tc>
          <w:tcPr/>
          <w:p>
            <w:pPr>
              <w:pStyle w:val="Compact"/>
              <w:jc w:val="left"/>
            </w:pPr>
            <w:r>
              <w:rPr>
                <w:bCs/>
                <w:b/>
              </w:rPr>
              <w:t xml:space="preserve">737,730</w:t>
            </w:r>
          </w:p>
        </w:tc>
      </w:tr>
    </w:tbl>
    <w:bookmarkEnd w:id="23"/>
    <w:bookmarkStart w:id="24" w:name="payment-terms"/>
    <w:p>
      <w:pPr>
        <w:pStyle w:val="Heading2"/>
      </w:pPr>
      <w:r>
        <w:t xml:space="preserve">4. Payment Terms</w:t>
      </w:r>
    </w:p>
    <w:p>
      <w:pPr>
        <w:pStyle w:val="FirstParagraph"/>
      </w:pPr>
      <w:r>
        <w:t xml:space="preserve">Invoices shall be issued on a monthly basis by the 5th working day of the following month. Payment is due within thirty (30) calendar days from the date of invoice receipt. Late payments shall attract a penalty interest at the rate of 1.5% per month, in accordance with the UAE Civil Transactions Law. A mobilization advance of 15% of the total Quotation Estimate value may be requested upon execution of the definitive service agreement.</w:t>
      </w:r>
    </w:p>
    <w:bookmarkEnd w:id="24"/>
    <w:bookmarkStart w:id="26" w:name="terms-and-conditions"/>
    <w:p>
      <w:pPr>
        <w:pStyle w:val="Heading2"/>
      </w:pPr>
      <w:r>
        <w:t xml:space="preserve">5. Terms and Conditions</w:t>
      </w:r>
    </w:p>
    <w:bookmarkStart w:id="25" w:name="X7e7ddccf80a63ed9003e5c8acbf61c1efe0ffc7"/>
    <w:p>
      <w:pPr>
        <w:pStyle w:val="Heading3"/>
      </w:pPr>
      <w:r>
        <w:t xml:space="preserve">Important Conditions of This Quotation Estimate</w:t>
      </w:r>
    </w:p>
    <w:p>
      <w:pPr>
        <w:numPr>
          <w:ilvl w:val="0"/>
          <w:numId w:val="1002"/>
        </w:numPr>
        <w:pStyle w:val="Compact"/>
      </w:pPr>
      <w:r>
        <w:t xml:space="preserve">This Quotation Estimate is valid for a period of thirty (30) calendar days from the date of issue. Beyond this period, all rates and terms are subject to revision without prior notice.</w:t>
      </w:r>
    </w:p>
    <w:p>
      <w:pPr>
        <w:numPr>
          <w:ilvl w:val="0"/>
          <w:numId w:val="1002"/>
        </w:numPr>
        <w:pStyle w:val="Compact"/>
      </w:pPr>
      <w:r>
        <w:t xml:space="preserve">The Project Manager shall be engaged on a full-time, exclusive basis for the duration specified. Any extension beyond the twelve-month term shall be subject to a separate written amendment to this Quotation Estimate.</w:t>
      </w:r>
    </w:p>
    <w:p>
      <w:pPr>
        <w:numPr>
          <w:ilvl w:val="0"/>
          <w:numId w:val="1002"/>
        </w:numPr>
        <w:pStyle w:val="Compact"/>
      </w:pPr>
      <w:r>
        <w:t xml:space="preserve">All work shall be performed in compliance with the laws of the United Arab Emirates, including but not limited to the Federal Labour Law, the Abu Dhabi Municipality regulations, and any sector-specific licensing requirements applicable in Abu Dhabi.</w:t>
      </w:r>
    </w:p>
    <w:p>
      <w:pPr>
        <w:numPr>
          <w:ilvl w:val="0"/>
          <w:numId w:val="1002"/>
        </w:numPr>
        <w:pStyle w:val="Compact"/>
      </w:pPr>
      <w:r>
        <w:t xml:space="preserve">The client shall provide the Project Manager with reasonable access to all project sites, documents, systems, and personnel necessary to perform the duties outlined in this Quotation Estimate.</w:t>
      </w:r>
    </w:p>
    <w:p>
      <w:pPr>
        <w:numPr>
          <w:ilvl w:val="0"/>
          <w:numId w:val="1002"/>
        </w:numPr>
        <w:pStyle w:val="Compact"/>
      </w:pPr>
      <w:r>
        <w:t xml:space="preserve">Intellectual property developed specifically for the client under this engagement shall vest in the client upon full payment. Pre-existing methodologies, templates, and tools of Meridian Consulting FZE shall remain the property of the firm.</w:t>
      </w:r>
    </w:p>
    <w:p>
      <w:pPr>
        <w:numPr>
          <w:ilvl w:val="0"/>
          <w:numId w:val="1002"/>
        </w:numPr>
        <w:pStyle w:val="Compact"/>
      </w:pPr>
      <w:r>
        <w:t xml:space="preserve">Either party may terminate this engagement with thirty (30) days written notice. In the event of termination, fees shall be pro-rated for the period of service actually rendered.</w:t>
      </w:r>
    </w:p>
    <w:p>
      <w:pPr>
        <w:numPr>
          <w:ilvl w:val="0"/>
          <w:numId w:val="1002"/>
        </w:numPr>
        <w:pStyle w:val="Compact"/>
      </w:pPr>
      <w:r>
        <w:t xml:space="preserve">Disputes arising from this Quotation Estimate or the resulting service agreement shall be resolved through arbitration in Abu Dhabi, United Arab Emirates, in accordance with the rules of the Abu Dhabi Commercial Conciliation and Arbitration Centre (ADCCAC).</w:t>
      </w:r>
    </w:p>
    <w:p>
      <w:pPr>
        <w:numPr>
          <w:ilvl w:val="0"/>
          <w:numId w:val="1002"/>
        </w:numPr>
        <w:pStyle w:val="Compact"/>
      </w:pPr>
      <w:r>
        <w:t xml:space="preserve">This Quotation Estimate does not constitute a binding contract until a definitive service agreement is executed by both parties.</w:t>
      </w:r>
    </w:p>
    <w:bookmarkEnd w:id="25"/>
    <w:bookmarkEnd w:id="26"/>
    <w:bookmarkStart w:id="27" w:name="acceptance-and-authorization"/>
    <w:p>
      <w:pPr>
        <w:pStyle w:val="Heading2"/>
      </w:pPr>
      <w:r>
        <w:t xml:space="preserve">6. Acceptance and Authorization</w:t>
      </w:r>
    </w:p>
    <w:p>
      <w:pPr>
        <w:pStyle w:val="FirstParagraph"/>
      </w:pPr>
      <w:r>
        <w:t xml:space="preserve">By signing below, the client acknowledges receipt of this Quotation Estimate for Project Manager services in Abu Dhabi, United Arab Emirates, and confirms acceptance of the fees, scope, and terms set forth herein. This acceptance shall serve as the basis for the preparation of the definitive service agreement.</w:t>
      </w:r>
    </w:p>
    <w:p>
      <w:pPr>
        <w:pStyle w:val="BodyText"/>
      </w:pPr>
      <w:r>
        <w:rPr>
          <w:bCs/>
          <w:b/>
        </w:rPr>
        <w:t xml:space="preserve">For Meridian Consulting FZE</w:t>
      </w:r>
      <w:r>
        <w:br/>
      </w: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Meridian Consulting FZE — Registered in Abu Dhabi, United Arab Emirates — CR No. 104872 — TRN: 100487200-3000</w:t>
      </w:r>
    </w:p>
    <w:p>
      <w:pPr>
        <w:pStyle w:val="BodyText"/>
      </w:pPr>
      <w:r>
        <w:t xml:space="preserve">This Quotation Estimate is the property of Meridian Consulting FZE and is issued solely for the named client. Unauthorized reproduction or distribution is prohibited.</w:t>
      </w:r>
    </w:p>
    <w:p>
      <w:pPr>
        <w:pStyle w:val="BodyText"/>
      </w:pPr>
      <w:r>
        <w:t xml:space="preserve">Document Ref: QE-ADM-2025-0472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United Arab Emirates Abu Dhabi</dc:title>
  <dc:creator/>
  <dc:language>en</dc:language>
  <cp:keywords/>
  <dcterms:created xsi:type="dcterms:W3CDTF">2026-10-10T04:11:25Z</dcterms:created>
  <dcterms:modified xsi:type="dcterms:W3CDTF">2026-10-10T04:11:25Z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