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United States Houston, Texas 77002</w:t>
      </w:r>
    </w:p>
    <w:p>
      <w:pPr>
        <w:pStyle w:val="BodyText"/>
      </w:pPr>
      <w:r>
        <w:t xml:space="preserve">Document Reference: QE-HOU-2025-0417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Meridian Consulting Group LLC</w:t>
      </w:r>
      <w:r>
        <w:br/>
      </w:r>
      <w:r>
        <w:rPr>
          <w:bCs/>
          <w:b/>
        </w:rPr>
        <w:t xml:space="preserve">Address:</w:t>
      </w:r>
      <w:r>
        <w:t xml:space="preserve"> </w:t>
      </w:r>
      <w:r>
        <w:t xml:space="preserve">1200 Smith Street, Suite 450, Houston, TX 77002</w:t>
      </w:r>
    </w:p>
    <w:p>
      <w:pPr>
        <w:pStyle w:val="BodyText"/>
      </w:pPr>
      <w:r>
        <w:rPr>
          <w:bCs/>
          <w:b/>
        </w:rPr>
        <w:t xml:space="preserve">Prepared For:</w:t>
      </w:r>
      <w:r>
        <w:t xml:space="preserve"> </w:t>
      </w:r>
      <w:r>
        <w:t xml:space="preserve">[Client Name / Organization]</w:t>
      </w:r>
      <w:r>
        <w:br/>
      </w:r>
      <w:r>
        <w:rPr>
          <w:bCs/>
          <w:b/>
        </w:rPr>
        <w:t xml:space="preserve">Project Location:</w:t>
      </w:r>
      <w:r>
        <w:t xml:space="preserve"> </w:t>
      </w:r>
      <w:r>
        <w:t xml:space="preserve">United States Houston, Texas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Meridian Consulting Group LLC to provide comprehensive</w:t>
      </w:r>
      <w:r>
        <w:t xml:space="preserve"> </w:t>
      </w:r>
      <w:r>
        <w:t xml:space="preserve">Project Manager</w:t>
      </w:r>
      <w:r>
        <w:t xml:space="preserve"> </w:t>
      </w:r>
      <w:r>
        <w:t xml:space="preserve">services for the client's upcoming initiative located in</w:t>
      </w:r>
      <w:r>
        <w:t xml:space="preserve"> </w:t>
      </w:r>
      <w:r>
        <w:t xml:space="preserve">United States Houston</w:t>
      </w:r>
      <w:r>
        <w:t xml:space="preserve">, Texas. This document outlines the full scope of professional services, associated costs, deliverables, and terms governing the engagement. The</w:t>
      </w:r>
      <w:r>
        <w:t xml:space="preserve"> </w:t>
      </w:r>
      <w:r>
        <w:t xml:space="preserve">Project Manager</w:t>
      </w:r>
      <w:r>
        <w:t xml:space="preserve"> </w:t>
      </w:r>
      <w:r>
        <w:t xml:space="preserve">engagement described herein is specifically tailored to meet the operational, regulatory, and logistical requirements unique to the Houston metropolitan area, including compliance with Texas state labor regulations and local municipal permitting standards.</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perform the following duties and responsibilities throughout the project lifecycle in</w:t>
      </w:r>
      <w:r>
        <w:t xml:space="preserve"> </w:t>
      </w:r>
      <w:r>
        <w:t xml:space="preserve">United States Houston</w:t>
      </w:r>
      <w:r>
        <w:t xml:space="preserve">:</w:t>
      </w:r>
    </w:p>
    <w:p>
      <w:pPr>
        <w:numPr>
          <w:ilvl w:val="0"/>
          <w:numId w:val="1001"/>
        </w:numPr>
        <w:pStyle w:val="Compact"/>
      </w:pPr>
      <w:r>
        <w:t xml:space="preserve">Full-cycle project planning, scheduling, and execution oversight for the client's capital improvement project situated in the Houston, Texas region.</w:t>
      </w:r>
    </w:p>
    <w:p>
      <w:pPr>
        <w:numPr>
          <w:ilvl w:val="0"/>
          <w:numId w:val="1001"/>
        </w:numPr>
        <w:pStyle w:val="Compact"/>
      </w:pPr>
      <w:r>
        <w:t xml:space="preserve">Development and maintenance of detailed work breakdown structures (WBS), critical path method (CPM) schedules, and resource allocation plans.</w:t>
      </w:r>
    </w:p>
    <w:p>
      <w:pPr>
        <w:numPr>
          <w:ilvl w:val="0"/>
          <w:numId w:val="1001"/>
        </w:numPr>
        <w:pStyle w:val="Compact"/>
      </w:pPr>
      <w:r>
        <w:t xml:space="preserve">Coordination with local Houston municipal authorities, including Harris County permitting offices, the City of Houston Development Services Department, and the Texas Department of Transportation (TxDOT) as applicable.</w:t>
      </w:r>
    </w:p>
    <w:p>
      <w:pPr>
        <w:numPr>
          <w:ilvl w:val="0"/>
          <w:numId w:val="1001"/>
        </w:numPr>
        <w:pStyle w:val="Compact"/>
      </w:pPr>
      <w:r>
        <w:t xml:space="preserve">Vendor and subcontractor management, including bid solicitation, contract negotiation, and performance monitoring of all third-party service providers operating within the United States Houston jurisdiction.</w:t>
      </w:r>
    </w:p>
    <w:p>
      <w:pPr>
        <w:numPr>
          <w:ilvl w:val="0"/>
          <w:numId w:val="1001"/>
        </w:numPr>
        <w:pStyle w:val="Compact"/>
      </w:pPr>
      <w:r>
        <w:t xml:space="preserve">Budget management and financial reporting, ensuring all expenditures align with the approved project budget and comply with applicable federal, state, and local financial regulations.</w:t>
      </w:r>
    </w:p>
    <w:p>
      <w:pPr>
        <w:numPr>
          <w:ilvl w:val="0"/>
          <w:numId w:val="1001"/>
        </w:numPr>
        <w:pStyle w:val="Compact"/>
      </w:pPr>
      <w:r>
        <w:t xml:space="preserve">Risk identification, assessment, and mitigation strategy development specific to the Houston geographic and environmental context, including hurricane season preparedness and flood zone considerations.</w:t>
      </w:r>
    </w:p>
    <w:p>
      <w:pPr>
        <w:numPr>
          <w:ilvl w:val="0"/>
          <w:numId w:val="1001"/>
        </w:numPr>
        <w:pStyle w:val="Compact"/>
      </w:pPr>
      <w:r>
        <w:t xml:space="preserve">Stakeholder communication and reporting, including weekly progress reports, monthly executive summaries, and ad-hoc briefing sessions for the client's leadership team.</w:t>
      </w:r>
    </w:p>
    <w:p>
      <w:pPr>
        <w:numPr>
          <w:ilvl w:val="0"/>
          <w:numId w:val="1001"/>
        </w:numPr>
        <w:pStyle w:val="Compact"/>
      </w:pPr>
      <w:r>
        <w:t xml:space="preserve">Quality assurance and quality control (QA/QC) oversight to ensure all deliverables meet the specifications outlined in the project charter.</w:t>
      </w:r>
    </w:p>
    <w:p>
      <w:pPr>
        <w:numPr>
          <w:ilvl w:val="0"/>
          <w:numId w:val="1001"/>
        </w:numPr>
        <w:pStyle w:val="Compact"/>
      </w:pPr>
      <w:r>
        <w:t xml:space="preserve">Closeout documentation, as-built drawings coordination, and final project handover to the client's operations team.</w:t>
      </w:r>
    </w:p>
    <w:bookmarkEnd w:id="22"/>
    <w:bookmarkStart w:id="23" w:name="quotation-estimate-cost-breakdown"/>
    <w:p>
      <w:pPr>
        <w:pStyle w:val="Heading2"/>
      </w:pPr>
      <w:r>
        <w:t xml:space="preserve">3. Quotation Estimate – Cost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Project Manager</w:t>
      </w:r>
      <w:r>
        <w:t xml:space="preserve"> </w:t>
      </w:r>
      <w:r>
        <w:t xml:space="preserve">engagement for the project located in</w:t>
      </w:r>
      <w:r>
        <w:t xml:space="preserve"> </w:t>
      </w:r>
      <w:r>
        <w:t xml:space="preserve">United States Houston</w:t>
      </w:r>
      <w:r>
        <w:t xml:space="preserve">. All figures are presented in United States Dollars (USD).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Senior Project Manager – Full-Time Engagement (Houston, TX based)</w:t>
            </w:r>
          </w:p>
        </w:tc>
        <w:tc>
          <w:tcPr/>
          <w:p>
            <w:pPr>
              <w:pStyle w:val="Compact"/>
              <w:jc w:val="left"/>
            </w:pPr>
            <w:r>
              <w:t xml:space="preserve">12 months</w:t>
            </w:r>
          </w:p>
        </w:tc>
        <w:tc>
          <w:tcPr/>
          <w:p>
            <w:pPr>
              <w:pStyle w:val="Compact"/>
              <w:jc w:val="left"/>
            </w:pPr>
            <w:r>
              <w:t xml:space="preserve">$145,000/yr</w:t>
            </w:r>
          </w:p>
        </w:tc>
        <w:tc>
          <w:tcPr/>
          <w:p>
            <w:pPr>
              <w:pStyle w:val="Compact"/>
              <w:jc w:val="left"/>
            </w:pPr>
            <w:r>
              <w:t xml:space="preserve">$145,000.00</w:t>
            </w:r>
          </w:p>
        </w:tc>
      </w:tr>
      <w:tr>
        <w:tc>
          <w:tcPr/>
          <w:p>
            <w:pPr>
              <w:pStyle w:val="Compact"/>
              <w:jc w:val="left"/>
            </w:pPr>
            <w:r>
              <w:t xml:space="preserve">2.0</w:t>
            </w:r>
          </w:p>
        </w:tc>
        <w:tc>
          <w:tcPr/>
          <w:p>
            <w:pPr>
              <w:pStyle w:val="Compact"/>
              <w:jc w:val="left"/>
            </w:pPr>
            <w:r>
              <w:t xml:space="preserve">Project Management Assistant / Coordinator</w:t>
            </w:r>
          </w:p>
        </w:tc>
        <w:tc>
          <w:tcPr/>
          <w:p>
            <w:pPr>
              <w:pStyle w:val="Compact"/>
              <w:jc w:val="left"/>
            </w:pPr>
            <w:r>
              <w:t xml:space="preserve">12 months</w:t>
            </w:r>
          </w:p>
        </w:tc>
        <w:tc>
          <w:tcPr/>
          <w:p>
            <w:pPr>
              <w:pStyle w:val="Compact"/>
              <w:jc w:val="left"/>
            </w:pPr>
            <w:r>
              <w:t xml:space="preserve">$68,000/yr</w:t>
            </w:r>
          </w:p>
        </w:tc>
        <w:tc>
          <w:tcPr/>
          <w:p>
            <w:pPr>
              <w:pStyle w:val="Compact"/>
              <w:jc w:val="left"/>
            </w:pPr>
            <w:r>
              <w:t xml:space="preserve">$68,000.00</w:t>
            </w:r>
          </w:p>
        </w:tc>
      </w:tr>
      <w:tr>
        <w:tc>
          <w:tcPr/>
          <w:p>
            <w:pPr>
              <w:pStyle w:val="Compact"/>
              <w:jc w:val="left"/>
            </w:pPr>
            <w:r>
              <w:t xml:space="preserve">3.0</w:t>
            </w:r>
          </w:p>
        </w:tc>
        <w:tc>
          <w:tcPr/>
          <w:p>
            <w:pPr>
              <w:pStyle w:val="Compact"/>
              <w:jc w:val="left"/>
            </w:pPr>
            <w:r>
              <w:t xml:space="preserve">Project Scheduling &amp; Cost Control Specialist</w:t>
            </w:r>
          </w:p>
        </w:tc>
        <w:tc>
          <w:tcPr/>
          <w:p>
            <w:pPr>
              <w:pStyle w:val="Compact"/>
              <w:jc w:val="left"/>
            </w:pPr>
            <w:r>
              <w:t xml:space="preserve">12 months</w:t>
            </w:r>
          </w:p>
        </w:tc>
        <w:tc>
          <w:tcPr/>
          <w:p>
            <w:pPr>
              <w:pStyle w:val="Compact"/>
              <w:jc w:val="left"/>
            </w:pPr>
            <w:r>
              <w:t xml:space="preserve">$82,000/yr</w:t>
            </w:r>
          </w:p>
        </w:tc>
        <w:tc>
          <w:tcPr/>
          <w:p>
            <w:pPr>
              <w:pStyle w:val="Compact"/>
              <w:jc w:val="left"/>
            </w:pPr>
            <w:r>
              <w:t xml:space="preserve">$82,000.00</w:t>
            </w:r>
          </w:p>
        </w:tc>
      </w:tr>
      <w:tr>
        <w:tc>
          <w:tcPr/>
          <w:p>
            <w:pPr>
              <w:pStyle w:val="Compact"/>
              <w:jc w:val="left"/>
            </w:pPr>
            <w:r>
              <w:t xml:space="preserve">4.0</w:t>
            </w:r>
          </w:p>
        </w:tc>
        <w:tc>
          <w:tcPr/>
          <w:p>
            <w:pPr>
              <w:pStyle w:val="Compact"/>
              <w:jc w:val="left"/>
            </w:pPr>
            <w:r>
              <w:t xml:space="preserve">Local Houston Permitting &amp; Regulatory Compliance Support</w:t>
            </w:r>
          </w:p>
        </w:tc>
        <w:tc>
          <w:tcPr/>
          <w:p>
            <w:pPr>
              <w:pStyle w:val="Compact"/>
              <w:jc w:val="left"/>
            </w:pPr>
            <w:r>
              <w:t xml:space="preserve">As needed</w:t>
            </w:r>
          </w:p>
        </w:tc>
        <w:tc>
          <w:tcPr/>
          <w:p>
            <w:pPr>
              <w:pStyle w:val="Compact"/>
              <w:jc w:val="left"/>
            </w:pPr>
            <w:r>
              <w:t xml:space="preserve">Flat Fee</w:t>
            </w:r>
          </w:p>
        </w:tc>
        <w:tc>
          <w:tcPr/>
          <w:p>
            <w:pPr>
              <w:pStyle w:val="Compact"/>
              <w:jc w:val="left"/>
            </w:pPr>
            <w:r>
              <w:t xml:space="preserve">$12,500.00</w:t>
            </w:r>
          </w:p>
        </w:tc>
      </w:tr>
      <w:tr>
        <w:tc>
          <w:tcPr/>
          <w:p>
            <w:pPr>
              <w:pStyle w:val="Compact"/>
              <w:jc w:val="left"/>
            </w:pPr>
            <w:r>
              <w:t xml:space="preserve">5.0</w:t>
            </w:r>
          </w:p>
        </w:tc>
        <w:tc>
          <w:tcPr/>
          <w:p>
            <w:pPr>
              <w:pStyle w:val="Compact"/>
              <w:jc w:val="left"/>
            </w:pPr>
            <w:r>
              <w:t xml:space="preserve">Project Management Software Licenses (Primavera P6, MS Project, Procore)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$8,400.00</w:t>
            </w:r>
          </w:p>
        </w:tc>
      </w:tr>
      <w:tr>
        <w:tc>
          <w:tcPr/>
          <w:p>
            <w:pPr>
              <w:pStyle w:val="Compact"/>
              <w:jc w:val="left"/>
            </w:pPr>
            <w:r>
              <w:t xml:space="preserve">6.0</w:t>
            </w:r>
          </w:p>
        </w:tc>
        <w:tc>
          <w:tcPr/>
          <w:p>
            <w:pPr>
              <w:pStyle w:val="Compact"/>
              <w:jc w:val="left"/>
            </w:pPr>
            <w:r>
              <w:t xml:space="preserve">Travel &amp; Local Transportation within Houston Metro Area</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$6,200.00</w:t>
            </w:r>
          </w:p>
        </w:tc>
      </w:tr>
      <w:tr>
        <w:tc>
          <w:tcPr/>
          <w:p>
            <w:pPr>
              <w:pStyle w:val="Compact"/>
              <w:jc w:val="left"/>
            </w:pPr>
            <w:r>
              <w:t xml:space="preserve">7.0</w:t>
            </w:r>
          </w:p>
        </w:tc>
        <w:tc>
          <w:tcPr/>
          <w:p>
            <w:pPr>
              <w:pStyle w:val="Compact"/>
              <w:jc w:val="left"/>
            </w:pPr>
            <w:r>
              <w:t xml:space="preserve">Contingency Allowance (10% of labor costs)</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$29,500.00</w:t>
            </w:r>
          </w:p>
        </w:tc>
      </w:tr>
      <w:tr>
        <w:tc>
          <w:tcPr>
            <w:gridSpan w:val="4"/>
          </w:tcPr>
          <w:p>
            <w:pPr>
              <w:pStyle w:val="Compact"/>
              <w:jc w:val="right"/>
            </w:pPr>
            <w:r>
              <w:t xml:space="preserve">TOTAL QUOTATION ESTIMATE</w:t>
            </w:r>
          </w:p>
        </w:tc>
        <w:tc>
          <w:tcPr/>
          <w:p>
            <w:pPr>
              <w:pStyle w:val="Compact"/>
              <w:jc w:val="left"/>
            </w:pPr>
            <w:r>
              <w:t xml:space="preserve">$351,600.00</w:t>
            </w:r>
          </w:p>
        </w:tc>
      </w:tr>
    </w:tbl>
    <w:p>
      <w:pPr>
        <w:pStyle w:val="BodyText"/>
      </w:pPr>
      <w:r>
        <w:rPr>
          <w:bCs/>
          <w:b/>
        </w:rPr>
        <w:t xml:space="preserve">Note:</w:t>
      </w:r>
      <w:r>
        <w:t xml:space="preserve"> </w:t>
      </w:r>
      <w:r>
        <w:t xml:space="preserve">This Quotation Estimate is valid for thirty (30) calendar days from the date of issue. All rates are subject to annual adjustment based on the Houston, Texas Consumer Price Index (CPI). The Project Manager engagement assumes a standard 40-hour work week with overtime compensated at 1.5x the base hourly rate as stipulated under Texas Labor Code Chapter 62.</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on a monthly basis, invoiced on the last business day of each calendar month. Invoices are payable within thirty (30) days of receipt. A late payment fee of 1.5% per month shall apply to any outstanding balances exceeding the net-30 period. The</w:t>
      </w:r>
      <w:r>
        <w:t xml:space="preserve"> </w:t>
      </w:r>
      <w:r>
        <w:t xml:space="preserve">Project Manager</w:t>
      </w:r>
      <w:r>
        <w:t xml:space="preserve"> </w:t>
      </w:r>
      <w:r>
        <w:t xml:space="preserve">team shall submit detailed timesheets and expense reports alongside each monthly invoice for full transparency and audit compliance.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 Quotation Estimate constitutes a non-binding proposal until formally accepted in writing by both parties. Upon acceptance, it shall become a binding service agreement governed by the laws of the State of Texas, with jurisdiction in the Harris County District Courts, United States Houston.</w:t>
      </w:r>
    </w:p>
    <w:p>
      <w:pPr>
        <w:pStyle w:val="BodyText"/>
      </w:pPr>
      <w:r>
        <w:rPr>
          <w:bCs/>
          <w:b/>
        </w:rPr>
        <w:t xml:space="preserve">5.2</w:t>
      </w:r>
      <w:r>
        <w:t xml:space="preserve"> </w:t>
      </w:r>
      <w:r>
        <w:t xml:space="preserve">– The Project Manager shall maintain professional liability insurance with a minimum coverage of $2,000,000 per occurrence and $5,000,000 aggregate, as well as workers' compensation insurance compliant with Texas state requirements.</w:t>
      </w:r>
    </w:p>
    <w:p>
      <w:pPr>
        <w:pStyle w:val="BodyText"/>
      </w:pPr>
      <w:r>
        <w:rPr>
          <w:bCs/>
          <w:b/>
        </w:rPr>
        <w:t xml:space="preserve">5.3</w:t>
      </w:r>
      <w:r>
        <w:t xml:space="preserve"> </w:t>
      </w:r>
      <w:r>
        <w:t xml:space="preserve">– All intellectual property, project documentation, and deliverables produced under this engagement shall become the sole property of the client upon full payment of all invoices.</w:t>
      </w:r>
    </w:p>
    <w:p>
      <w:pPr>
        <w:pStyle w:val="BodyText"/>
      </w:pPr>
      <w:r>
        <w:rPr>
          <w:bCs/>
          <w:b/>
        </w:rPr>
        <w:t xml:space="preserve">5.4</w:t>
      </w:r>
      <w:r>
        <w:t xml:space="preserve"> </w:t>
      </w:r>
      <w:r>
        <w:t xml:space="preserve">– Either party may terminate this agreement with thirty (30) days written notice. In the event of early termination, the client shall be liable for all services rendered and non-cancellable commitments incurred up to the termination date.</w:t>
      </w:r>
    </w:p>
    <w:p>
      <w:pPr>
        <w:pStyle w:val="BodyText"/>
      </w:pPr>
      <w:r>
        <w:rPr>
          <w:bCs/>
          <w:b/>
        </w:rPr>
        <w:t xml:space="preserve">5.5</w:t>
      </w:r>
      <w:r>
        <w:t xml:space="preserve"> </w:t>
      </w:r>
      <w:r>
        <w:t xml:space="preserve">– The Project Manager shall comply with all applicable federal, state, and local regulations in United States Houston, including but not limited to OSHA standards, EPA environmental guidelines, and Harris County building codes.</w:t>
      </w:r>
    </w:p>
    <w:p>
      <w:pPr>
        <w:pStyle w:val="BodyText"/>
      </w:pPr>
      <w:r>
        <w:rPr>
          <w:bCs/>
          <w:b/>
        </w:rPr>
        <w:t xml:space="preserve">5.6</w:t>
      </w:r>
      <w:r>
        <w:t xml:space="preserve"> </w:t>
      </w:r>
      <w:r>
        <w:t xml:space="preserve">– Confidentiality: Both parties agree to maintain strict confidentiality regarding all proprietary information, project data, and business strategies disclosed during the course of this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Consulting Group LLC to commence</w:t>
      </w:r>
      <w:r>
        <w:t xml:space="preserve"> </w:t>
      </w:r>
      <w:r>
        <w:t xml:space="preserve">Project Manager</w:t>
      </w:r>
      <w:r>
        <w:t xml:space="preserve"> </w:t>
      </w:r>
      <w:r>
        <w:t xml:space="preserve">services in</w:t>
      </w:r>
      <w:r>
        <w:t xml:space="preserve"> </w:t>
      </w:r>
      <w:r>
        <w:t xml:space="preserve">United States Houston</w:t>
      </w:r>
      <w:r>
        <w:t xml:space="preserve"> </w:t>
      </w:r>
      <w:r>
        <w:t xml:space="preserve">in accordance with the terms, scope, and pricing outlined herein.</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Meridian Consulting Group LLC</w:t>
      </w:r>
      <w:r>
        <w:br/>
      </w:r>
      <w:r>
        <w:t xml:space="preserve">Name: _________________________</w:t>
      </w:r>
      <w:r>
        <w:br/>
      </w:r>
      <w:r>
        <w:t xml:space="preserve">Title: _________________________</w:t>
      </w:r>
      <w:r>
        <w:br/>
      </w:r>
      <w:r>
        <w:t xml:space="preserve">Date: _________________________</w:t>
      </w:r>
    </w:p>
    <w:p>
      <w:pPr>
        <w:pStyle w:val="BodyText"/>
      </w:pPr>
      <w:r>
        <w:t xml:space="preserve">Meridian Consulting Group LLC | 1200 Smith Street, Suite 450, Houston, TX 77002 | United States</w:t>
      </w:r>
      <w:r>
        <w:br/>
      </w:r>
      <w:r>
        <w:t xml:space="preserve">Phone: (713) 555-0142 | Email: proposals@meridianconsulting-hou.com | EIN: 74-XXXXXXX</w:t>
      </w:r>
      <w:r>
        <w:br/>
      </w:r>
      <w:r>
        <w:t xml:space="preserve">This Quotation Estimate is the property of Meridian Consulting Group LLC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States Houston</dc:title>
  <dc:creator/>
  <dc:language>en</dc:language>
  <cp:keywords/>
  <dcterms:created xsi:type="dcterms:W3CDTF">2026-10-10T02:35:58Z</dcterms:created>
  <dcterms:modified xsi:type="dcterms:W3CDTF">2026-10-10T02:35:58Z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