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meridian-consulting-group-inc."/>
    <w:p>
      <w:pPr>
        <w:pStyle w:val="Heading1"/>
      </w:pPr>
      <w:r>
        <w:t xml:space="preserve">Meridian Consulting Group, Inc.</w:t>
      </w:r>
    </w:p>
    <w:p>
      <w:pPr>
        <w:pStyle w:val="FirstParagraph"/>
      </w:pPr>
      <w:r>
        <w:t xml:space="preserve">1455 Market Street, Suite 2800</w:t>
      </w:r>
    </w:p>
    <w:p>
      <w:pPr>
        <w:pStyle w:val="BodyText"/>
      </w:pPr>
      <w:r>
        <w:t xml:space="preserve">San Francisco, CA 94103, United States</w:t>
      </w:r>
    </w:p>
    <w:p>
      <w:pPr>
        <w:pStyle w:val="BodyText"/>
      </w:pPr>
      <w:r>
        <w:t xml:space="preserve">Tel: (415) 555-0192 | Email: quotes@meridianconsulting.com</w:t>
      </w:r>
    </w:p>
    <w:p>
      <w:pPr>
        <w:pStyle w:val="BodyText"/>
      </w:pPr>
      <w:r>
        <w:t xml:space="preserve">CA Contractor License: #1048291</w:t>
      </w:r>
    </w:p>
    <w:bookmarkEnd w:id="20"/>
    <w:bookmarkStart w:id="21" w:name="quotation-estimate"/>
    <w:p>
      <w:pPr>
        <w:pStyle w:val="Heading2"/>
      </w:pPr>
      <w:r>
        <w:t xml:space="preserve">Quotation Estimate</w:t>
      </w:r>
    </w:p>
    <w:p>
      <w:pPr>
        <w:pStyle w:val="FirstParagraph"/>
      </w:pPr>
      <w:r>
        <w:t xml:space="preserve">Reference No: QTE-2025-SF-0472</w:t>
      </w:r>
    </w:p>
    <w:p>
      <w:pPr>
        <w:pStyle w:val="BodyText"/>
      </w:pPr>
      <w:r>
        <w:t xml:space="preserve">Date Issued: June 12, 2025</w:t>
      </w:r>
    </w:p>
    <w:p>
      <w:pPr>
        <w:pStyle w:val="BodyText"/>
      </w:pPr>
      <w:r>
        <w:t xml:space="preserve">Valid Until: July 12, 2025</w:t>
      </w:r>
    </w:p>
    <w:bookmarkEnd w:id="21"/>
    <w:bookmarkStart w:id="22" w:name="client-information"/>
    <w:p>
      <w:pPr>
        <w:pStyle w:val="Heading3"/>
      </w:pPr>
      <w:r>
        <w:t xml:space="preserve">Client Information</w:t>
      </w:r>
    </w:p>
    <w:p>
      <w:pPr>
        <w:pStyle w:val="FirstParagraph"/>
      </w:pPr>
      <w:r>
        <w:t xml:space="preserve">Prepared For</w:t>
      </w:r>
    </w:p>
    <w:p>
      <w:pPr>
        <w:pStyle w:val="BodyText"/>
      </w:pPr>
      <w:r>
        <w:t xml:space="preserve">Apex Digital Solutions LLC</w:t>
      </w:r>
    </w:p>
    <w:p>
      <w:pPr>
        <w:pStyle w:val="BodyText"/>
      </w:pPr>
      <w:r>
        <w:t xml:space="preserve">2200 Mission Street, Floor 14</w:t>
      </w:r>
    </w:p>
    <w:p>
      <w:pPr>
        <w:pStyle w:val="BodyText"/>
      </w:pPr>
      <w:r>
        <w:t xml:space="preserve">San Francisco, CA 94110, United States</w:t>
      </w:r>
    </w:p>
    <w:p>
      <w:pPr>
        <w:pStyle w:val="BodyText"/>
      </w:pPr>
      <w:r>
        <w:t xml:space="preserve">Project Location</w:t>
      </w:r>
    </w:p>
    <w:p>
      <w:pPr>
        <w:pStyle w:val="BodyText"/>
      </w:pPr>
      <w:r>
        <w:t xml:space="preserve">United States San Francisco – Downtown Financial District</w:t>
      </w:r>
    </w:p>
    <w:p>
      <w:pPr>
        <w:pStyle w:val="BodyText"/>
      </w:pPr>
      <w:r>
        <w:t xml:space="preserve">Primary Office: 555 California Street</w:t>
      </w:r>
    </w:p>
    <w:p>
      <w:pPr>
        <w:pStyle w:val="BodyText"/>
      </w:pPr>
      <w:r>
        <w:t xml:space="preserve">Secondary Site: 101 Montgomery Street</w:t>
      </w:r>
    </w:p>
    <w:bookmarkEnd w:id="22"/>
    <w:bookmarkStart w:id="23" w:name="scope-of-work-project-manager-engagement"/>
    <w:p>
      <w:pPr>
        <w:pStyle w:val="Heading3"/>
      </w:pPr>
      <w:r>
        <w:t xml:space="preserve">Scope of Work – Project Manager Engagement</w:t>
      </w:r>
    </w:p>
    <w:p>
      <w:pPr>
        <w:pStyle w:val="FirstParagraph"/>
      </w:pPr>
      <w:r>
        <w:t xml:space="preserve">This</w:t>
      </w:r>
      <w:r>
        <w:t xml:space="preserve"> </w:t>
      </w:r>
      <w:r>
        <w:t xml:space="preserve">Quotation Estimate</w:t>
      </w:r>
      <w:r>
        <w:t xml:space="preserve"> </w:t>
      </w:r>
      <w:r>
        <w:t xml:space="preserve">is presented by Meridian Consulting Group, Inc. to Apex Digital Solutions LLC for the provision of a dedicated</w:t>
      </w:r>
      <w:r>
        <w:t xml:space="preserve"> </w:t>
      </w:r>
      <w:r>
        <w:t xml:space="preserve">Project Manager</w:t>
      </w:r>
      <w:r>
        <w:t xml:space="preserve"> </w:t>
      </w:r>
      <w:r>
        <w:t xml:space="preserve">to oversee the end-to-end delivery of the "Enterprise Platform Migration" initiative. The engagement will be conducted primarily in the</w:t>
      </w:r>
      <w:r>
        <w:t xml:space="preserve"> </w:t>
      </w:r>
      <w:r>
        <w:t xml:space="preserve">United States San Francisco</w:t>
      </w:r>
      <w:r>
        <w:t xml:space="preserve"> </w:t>
      </w:r>
      <w:r>
        <w:t xml:space="preserve">metropolitan area, with the Project Manager operating on-site at the client's headquarters in the Financial District and coordinating with distributed teams across the Bay Area.</w:t>
      </w:r>
    </w:p>
    <w:p>
      <w:pPr>
        <w:pStyle w:val="BodyText"/>
      </w:pPr>
      <w:r>
        <w:t xml:space="preserve">The Project Manager will be responsible for defining project scope, developing detailed work breakdown structures, managing cross-functional teams of up to 45 personnel, controlling budgets not to exceed $4.2 million, mitigating risks, and ensuring compliance with all applicable California state regulations and United States federal standards. The engagement period spans fourteen (14) months, commencing August 1, 2025, and concluding through November 30, 2026.</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Project Manager – Full-time on-site engagement in United States San Francisco. Includes daily stand-ups, sprint planning, stakeholder reporting, and vendor coordination.</w:t>
            </w:r>
          </w:p>
        </w:tc>
        <w:tc>
          <w:tcPr/>
          <w:p>
            <w:pPr>
              <w:pStyle w:val="Compact"/>
              <w:jc w:val="left"/>
            </w:pPr>
            <w:r>
              <w:t xml:space="preserve">14 months</w:t>
            </w:r>
          </w:p>
        </w:tc>
        <w:tc>
          <w:tcPr/>
          <w:p>
            <w:pPr>
              <w:pStyle w:val="Compact"/>
              <w:jc w:val="left"/>
            </w:pPr>
            <w:r>
              <w:t xml:space="preserve">$145,000 / month</w:t>
            </w:r>
          </w:p>
        </w:tc>
        <w:tc>
          <w:tcPr/>
          <w:p>
            <w:pPr>
              <w:pStyle w:val="Compact"/>
              <w:jc w:val="left"/>
            </w:pPr>
            <w:r>
              <w:t xml:space="preserve">$2,030,000.00</w:t>
            </w:r>
          </w:p>
        </w:tc>
      </w:tr>
      <w:tr>
        <w:tc>
          <w:tcPr/>
          <w:p>
            <w:pPr>
              <w:pStyle w:val="Compact"/>
              <w:jc w:val="left"/>
            </w:pPr>
            <w:r>
              <w:t xml:space="preserve">2</w:t>
            </w:r>
          </w:p>
        </w:tc>
        <w:tc>
          <w:tcPr/>
          <w:p>
            <w:pPr>
              <w:pStyle w:val="Compact"/>
              <w:jc w:val="left"/>
            </w:pPr>
            <w:r>
              <w:t xml:space="preserve">Project Management Office (PMO) Setup – Establishment of governance frameworks, tooling (Jira, Confluence, MS Project), and reporting dashboards tailored to the San Francisco office infrastructure.</w:t>
            </w:r>
          </w:p>
        </w:tc>
        <w:tc>
          <w:tcPr/>
          <w:p>
            <w:pPr>
              <w:pStyle w:val="Compact"/>
              <w:jc w:val="left"/>
            </w:pPr>
            <w:r>
              <w:t xml:space="preserve">1 month (initial)</w:t>
            </w:r>
          </w:p>
        </w:tc>
        <w:tc>
          <w:tcPr/>
          <w:p>
            <w:pPr>
              <w:pStyle w:val="Compact"/>
              <w:jc w:val="left"/>
            </w:pPr>
            <w:r>
              <w:t xml:space="preserve">Flat fee</w:t>
            </w:r>
          </w:p>
        </w:tc>
        <w:tc>
          <w:tcPr/>
          <w:p>
            <w:pPr>
              <w:pStyle w:val="Compact"/>
              <w:jc w:val="left"/>
            </w:pPr>
            <w:r>
              <w:t xml:space="preserve">$38,500.00</w:t>
            </w:r>
          </w:p>
        </w:tc>
      </w:tr>
      <w:tr>
        <w:tc>
          <w:tcPr/>
          <w:p>
            <w:pPr>
              <w:pStyle w:val="Compact"/>
              <w:jc w:val="left"/>
            </w:pPr>
            <w:r>
              <w:t xml:space="preserve">3</w:t>
            </w:r>
          </w:p>
        </w:tc>
        <w:tc>
          <w:tcPr/>
          <w:p>
            <w:pPr>
              <w:pStyle w:val="Compact"/>
              <w:jc w:val="left"/>
            </w:pPr>
            <w:r>
              <w:t xml:space="preserve">Risk Management &amp; Compliance Oversight – Ongoing identification, assessment, and mitigation of project risks. Ensures alignment with California labor laws, OSHA guidelines, and United States federal procurement standards.</w:t>
            </w:r>
          </w:p>
        </w:tc>
        <w:tc>
          <w:tcPr/>
          <w:p>
            <w:pPr>
              <w:pStyle w:val="Compact"/>
              <w:jc w:val="left"/>
            </w:pPr>
            <w:r>
              <w:t xml:space="preserve">14 months</w:t>
            </w:r>
          </w:p>
        </w:tc>
        <w:tc>
          <w:tcPr/>
          <w:p>
            <w:pPr>
              <w:pStyle w:val="Compact"/>
              <w:jc w:val="left"/>
            </w:pPr>
            <w:r>
              <w:t xml:space="preserve">$12,000 / month</w:t>
            </w:r>
          </w:p>
        </w:tc>
        <w:tc>
          <w:tcPr/>
          <w:p>
            <w:pPr>
              <w:pStyle w:val="Compact"/>
              <w:jc w:val="left"/>
            </w:pPr>
            <w:r>
              <w:t xml:space="preserve">$168,000.00</w:t>
            </w:r>
          </w:p>
        </w:tc>
      </w:tr>
      <w:tr>
        <w:tc>
          <w:tcPr/>
          <w:p>
            <w:pPr>
              <w:pStyle w:val="Compact"/>
              <w:jc w:val="left"/>
            </w:pPr>
            <w:r>
              <w:t xml:space="preserve">4</w:t>
            </w:r>
          </w:p>
        </w:tc>
        <w:tc>
          <w:tcPr/>
          <w:p>
            <w:pPr>
              <w:pStyle w:val="Compact"/>
              <w:jc w:val="left"/>
            </w:pPr>
            <w:r>
              <w:t xml:space="preserve">Stakeholder Communication &amp; Executive Reporting – Bi-weekly board-level presentations, monthly progress reports, and ad-hoc briefing sessions conducted at the San Francisco headquarters.</w:t>
            </w:r>
          </w:p>
        </w:tc>
        <w:tc>
          <w:tcPr/>
          <w:p>
            <w:pPr>
              <w:pStyle w:val="Compact"/>
              <w:jc w:val="left"/>
            </w:pPr>
            <w:r>
              <w:t xml:space="preserve">14 months</w:t>
            </w:r>
          </w:p>
        </w:tc>
        <w:tc>
          <w:tcPr/>
          <w:p>
            <w:pPr>
              <w:pStyle w:val="Compact"/>
              <w:jc w:val="left"/>
            </w:pPr>
            <w:r>
              <w:t xml:space="preserve">$8,500 / month</w:t>
            </w:r>
          </w:p>
        </w:tc>
        <w:tc>
          <w:tcPr/>
          <w:p>
            <w:pPr>
              <w:pStyle w:val="Compact"/>
              <w:jc w:val="left"/>
            </w:pPr>
            <w:r>
              <w:t xml:space="preserve">$119,000.00</w:t>
            </w:r>
          </w:p>
        </w:tc>
      </w:tr>
      <w:tr>
        <w:tc>
          <w:tcPr/>
          <w:p>
            <w:pPr>
              <w:pStyle w:val="Compact"/>
              <w:jc w:val="left"/>
            </w:pPr>
            <w:r>
              <w:t xml:space="preserve">5</w:t>
            </w:r>
          </w:p>
        </w:tc>
        <w:tc>
          <w:tcPr/>
          <w:p>
            <w:pPr>
              <w:pStyle w:val="Compact"/>
              <w:jc w:val="left"/>
            </w:pPr>
            <w:r>
              <w:t xml:space="preserve">Vendor &amp; Subcontractor Management – Coordination of up to 12 external vendors operating within the United States San Francisco tech corridor. Includes contract review, performance tracking, and dispute resolution.</w:t>
            </w:r>
          </w:p>
        </w:tc>
        <w:tc>
          <w:tcPr/>
          <w:p>
            <w:pPr>
              <w:pStyle w:val="Compact"/>
              <w:jc w:val="left"/>
            </w:pPr>
            <w:r>
              <w:t xml:space="preserve">14 months</w:t>
            </w:r>
          </w:p>
        </w:tc>
        <w:tc>
          <w:tcPr/>
          <w:p>
            <w:pPr>
              <w:pStyle w:val="Compact"/>
              <w:jc w:val="left"/>
            </w:pPr>
            <w:r>
              <w:t xml:space="preserve">$6,200 / month</w:t>
            </w:r>
          </w:p>
        </w:tc>
        <w:tc>
          <w:tcPr/>
          <w:p>
            <w:pPr>
              <w:pStyle w:val="Compact"/>
              <w:jc w:val="left"/>
            </w:pPr>
            <w:r>
              <w:t xml:space="preserve">$86,800.00</w:t>
            </w:r>
          </w:p>
        </w:tc>
      </w:tr>
      <w:tr>
        <w:tc>
          <w:tcPr/>
          <w:p>
            <w:pPr>
              <w:pStyle w:val="Compact"/>
              <w:jc w:val="left"/>
            </w:pPr>
            <w:r>
              <w:t xml:space="preserve">6</w:t>
            </w:r>
          </w:p>
        </w:tc>
        <w:tc>
          <w:tcPr/>
          <w:p>
            <w:pPr>
              <w:pStyle w:val="Compact"/>
              <w:jc w:val="left"/>
            </w:pPr>
            <w:r>
              <w:t xml:space="preserve">Change Management &amp; Scope Control – Formal change request processing, impact analysis, and re-baselining of schedules and budgets as required throughout the project lifecycle.</w:t>
            </w:r>
          </w:p>
        </w:tc>
        <w:tc>
          <w:tcPr/>
          <w:p>
            <w:pPr>
              <w:pStyle w:val="Compact"/>
              <w:jc w:val="left"/>
            </w:pPr>
            <w:r>
              <w:t xml:space="preserve">14 months</w:t>
            </w:r>
          </w:p>
        </w:tc>
        <w:tc>
          <w:tcPr/>
          <w:p>
            <w:pPr>
              <w:pStyle w:val="Compact"/>
              <w:jc w:val="left"/>
            </w:pPr>
            <w:r>
              <w:t xml:space="preserve">$5,800 / month</w:t>
            </w:r>
          </w:p>
        </w:tc>
        <w:tc>
          <w:tcPr/>
          <w:p>
            <w:pPr>
              <w:pStyle w:val="Compact"/>
              <w:jc w:val="left"/>
            </w:pPr>
            <w:r>
              <w:t xml:space="preserve">$81,200.00</w:t>
            </w:r>
          </w:p>
        </w:tc>
      </w:tr>
      <w:tr>
        <w:tc>
          <w:tcPr/>
          <w:p>
            <w:pPr>
              <w:pStyle w:val="Compact"/>
              <w:jc w:val="left"/>
            </w:pPr>
            <w:r>
              <w:t xml:space="preserve">7</w:t>
            </w:r>
          </w:p>
        </w:tc>
        <w:tc>
          <w:tcPr/>
          <w:p>
            <w:pPr>
              <w:pStyle w:val="Compact"/>
              <w:jc w:val="left"/>
            </w:pPr>
            <w:r>
              <w:t xml:space="preserve">Travel &amp; Local Transportation – Project Manager commuting between San Francisco sites, occasional travel to Oakland and San Jose for vendor meetings. Includes parking, transit passes, and mileage.</w:t>
            </w:r>
          </w:p>
        </w:tc>
        <w:tc>
          <w:tcPr/>
          <w:p>
            <w:pPr>
              <w:pStyle w:val="Compact"/>
              <w:jc w:val="left"/>
            </w:pPr>
            <w:r>
              <w:t xml:space="preserve">14 months</w:t>
            </w:r>
          </w:p>
        </w:tc>
        <w:tc>
          <w:tcPr/>
          <w:p>
            <w:pPr>
              <w:pStyle w:val="Compact"/>
              <w:jc w:val="left"/>
            </w:pPr>
            <w:r>
              <w:t xml:space="preserve">$2,400 / month</w:t>
            </w:r>
          </w:p>
        </w:tc>
        <w:tc>
          <w:tcPr/>
          <w:p>
            <w:pPr>
              <w:pStyle w:val="Compact"/>
              <w:jc w:val="left"/>
            </w:pPr>
            <w:r>
              <w:t xml:space="preserve">$33,600.00</w:t>
            </w:r>
          </w:p>
        </w:tc>
      </w:tr>
      <w:tr>
        <w:tc>
          <w:tcPr/>
          <w:p>
            <w:pPr>
              <w:pStyle w:val="Compact"/>
              <w:jc w:val="left"/>
            </w:pPr>
            <w:r>
              <w:t xml:space="preserve">8</w:t>
            </w:r>
          </w:p>
        </w:tc>
        <w:tc>
          <w:tcPr/>
          <w:p>
            <w:pPr>
              <w:pStyle w:val="Compact"/>
              <w:jc w:val="left"/>
            </w:pPr>
            <w:r>
              <w:t xml:space="preserve">Project Closure &amp; Knowledge Transfer – Final documentation, lessons-learned workshop, handover to operations team, and 30-day post-closure support window.</w:t>
            </w:r>
          </w:p>
        </w:tc>
        <w:tc>
          <w:tcPr/>
          <w:p>
            <w:pPr>
              <w:pStyle w:val="Compact"/>
              <w:jc w:val="left"/>
            </w:pPr>
            <w:r>
              <w:t xml:space="preserve">1 month (final)</w:t>
            </w:r>
          </w:p>
        </w:tc>
        <w:tc>
          <w:tcPr/>
          <w:p>
            <w:pPr>
              <w:pStyle w:val="Compact"/>
              <w:jc w:val="left"/>
            </w:pPr>
            <w:r>
              <w:t xml:space="preserve">Flat fee</w:t>
            </w:r>
          </w:p>
        </w:tc>
        <w:tc>
          <w:tcPr/>
          <w:p>
            <w:pPr>
              <w:pStyle w:val="Compact"/>
              <w:jc w:val="left"/>
            </w:pPr>
            <w:r>
              <w:t xml:space="preserve">$27,500.00</w:t>
            </w:r>
          </w:p>
        </w:tc>
      </w:tr>
      <w:tr>
        <w:tc>
          <w:tcPr>
            <w:gridSpan w:val="4"/>
          </w:tcPr>
          <w:p>
            <w:pPr>
              <w:pStyle w:val="Compact"/>
              <w:jc w:val="left"/>
            </w:pPr>
            <w:r>
              <w:t xml:space="preserve">TOTAL ESTIMATED COST (Before Applicable Taxes)</w:t>
            </w:r>
          </w:p>
        </w:tc>
        <w:tc>
          <w:tcPr/>
          <w:p>
            <w:pPr>
              <w:pStyle w:val="Compact"/>
              <w:jc w:val="left"/>
            </w:pPr>
            <w:r>
              <w:t xml:space="preserve">$2,584,600.00</w:t>
            </w:r>
          </w:p>
        </w:tc>
      </w:tr>
      <w:tr>
        <w:tc>
          <w:tcPr>
            <w:gridSpan w:val="4"/>
          </w:tcPr>
          <w:p>
            <w:pPr>
              <w:pStyle w:val="Compact"/>
              <w:jc w:val="left"/>
            </w:pPr>
            <w:r>
              <w:t xml:space="preserve">California State Sales Tax (8.63% – San Francisco County)</w:t>
            </w:r>
          </w:p>
        </w:tc>
        <w:tc>
          <w:tcPr/>
          <w:p>
            <w:pPr>
              <w:pStyle w:val="Compact"/>
              <w:jc w:val="left"/>
            </w:pPr>
            <w:r>
              <w:t xml:space="preserve">$223,050.98</w:t>
            </w:r>
          </w:p>
        </w:tc>
      </w:tr>
      <w:tr>
        <w:tc>
          <w:tcPr>
            <w:gridSpan w:val="4"/>
          </w:tcPr>
          <w:p>
            <w:pPr>
              <w:pStyle w:val="Compact"/>
              <w:jc w:val="left"/>
            </w:pPr>
            <w:r>
              <w:t xml:space="preserve">GRAND TOTAL (Tax Inclusive)</w:t>
            </w:r>
          </w:p>
        </w:tc>
        <w:tc>
          <w:tcPr/>
          <w:p>
            <w:pPr>
              <w:pStyle w:val="Compact"/>
              <w:jc w:val="left"/>
            </w:pPr>
            <w:r>
              <w:t xml:space="preserve">$2,807,650.98</w:t>
            </w:r>
          </w:p>
        </w:tc>
      </w:tr>
    </w:tbl>
    <w:bookmarkEnd w:id="24"/>
    <w:bookmarkStart w:id="25" w:name="terms-and-conditions"/>
    <w:p>
      <w:pPr>
        <w:pStyle w:val="Heading3"/>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must be reconfirmed in writing by Meridian Consulting Group, Inc.</w:t>
      </w:r>
    </w:p>
    <w:p>
      <w:pPr>
        <w:numPr>
          <w:ilvl w:val="0"/>
          <w:numId w:val="1001"/>
        </w:numPr>
        <w:pStyle w:val="Compact"/>
      </w:pPr>
      <w:r>
        <w:t xml:space="preserve">The</w:t>
      </w:r>
      <w:r>
        <w:t xml:space="preserve"> </w:t>
      </w:r>
      <w:r>
        <w:t xml:space="preserve">Project Manager</w:t>
      </w:r>
      <w:r>
        <w:t xml:space="preserve"> </w:t>
      </w:r>
      <w:r>
        <w:t xml:space="preserve">assigned to this engagement shall be a PMP-certified professional with a minimum of twelve (12) years of experience in enterprise technology projects within the United States. The specific individual will be identified in a supplementary addendum upon contract execution.</w:t>
      </w:r>
    </w:p>
    <w:p>
      <w:pPr>
        <w:numPr>
          <w:ilvl w:val="0"/>
          <w:numId w:val="1001"/>
        </w:numPr>
        <w:pStyle w:val="Compact"/>
      </w:pPr>
      <w:r>
        <w:t xml:space="preserve">All services will be performed in the</w:t>
      </w:r>
      <w:r>
        <w:t xml:space="preserve"> </w:t>
      </w:r>
      <w:r>
        <w:t xml:space="preserve">United States San Francisco</w:t>
      </w:r>
      <w:r>
        <w:t xml:space="preserve"> </w:t>
      </w:r>
      <w:r>
        <w:t xml:space="preserve">area. Should the client require the Project Manager to relocate to a different city or state, additional travel and cost-of-living adjustments will be quoted separately.</w:t>
      </w:r>
    </w:p>
    <w:p>
      <w:pPr>
        <w:numPr>
          <w:ilvl w:val="0"/>
          <w:numId w:val="1001"/>
        </w:numPr>
        <w:pStyle w:val="Compact"/>
      </w:pPr>
      <w:r>
        <w:t xml:space="preserve">Payment terms: Net 30 days from invoice date. Invoices will be issued monthly in arrears. A 1.5% monthly late fee will apply to overdue balances in accordance with California Commercial Code Section 2202.</w:t>
      </w:r>
    </w:p>
    <w:p>
      <w:pPr>
        <w:numPr>
          <w:ilvl w:val="0"/>
          <w:numId w:val="1001"/>
        </w:numPr>
        <w:pStyle w:val="Compact"/>
      </w:pPr>
      <w:r>
        <w:t xml:space="preserve">A 20% mobilization deposit is due upon signed acceptance of this Quotation Estimate. The remaining balance will be invoiced monthly based on the itemized schedule above.</w:t>
      </w:r>
    </w:p>
    <w:p>
      <w:pPr>
        <w:numPr>
          <w:ilvl w:val="0"/>
          <w:numId w:val="1001"/>
        </w:numPr>
        <w:pStyle w:val="Compact"/>
      </w:pPr>
      <w:r>
        <w:t xml:space="preserve">Either party may terminate this engagement with sixty (60) days written notice. In the event of early termination, the client shall pay for all services rendered through the termination date plus a 10% wind-down fee.</w:t>
      </w:r>
    </w:p>
    <w:p>
      <w:pPr>
        <w:numPr>
          <w:ilvl w:val="0"/>
          <w:numId w:val="1001"/>
        </w:numPr>
        <w:pStyle w:val="Compact"/>
      </w:pPr>
      <w:r>
        <w:t xml:space="preserve">All intellectual property, project documentation, and deliverables produced under this engagement shall become the sole property of Apex Digital Solutions LLC upon full payment.</w:t>
      </w:r>
    </w:p>
    <w:p>
      <w:pPr>
        <w:numPr>
          <w:ilvl w:val="0"/>
          <w:numId w:val="1001"/>
        </w:numPr>
        <w:pStyle w:val="Compact"/>
      </w:pPr>
      <w:r>
        <w:t xml:space="preserve">This Quotation Estimate is governed by the laws of the State of California. Any disputes shall be resolved through binding arbitration in San Francisco, California, in accordance with the rules of the American Arbitration Association.</w:t>
      </w:r>
    </w:p>
    <w:p>
      <w:pPr>
        <w:numPr>
          <w:ilvl w:val="0"/>
          <w:numId w:val="1001"/>
        </w:numPr>
        <w:pStyle w:val="Compact"/>
      </w:pPr>
      <w:r>
        <w:t xml:space="preserve">Meridian Consulting Group, Inc. maintains professional liability insurance of $5,000,000 and workers' compensation coverage as required by the State of California.</w:t>
      </w:r>
    </w:p>
    <w:p>
      <w:pPr>
        <w:numPr>
          <w:ilvl w:val="0"/>
          <w:numId w:val="1001"/>
        </w:numPr>
        <w:pStyle w:val="Compact"/>
      </w:pPr>
      <w:r>
        <w:t xml:space="preserve">Confidentiality: Both parties agree to maintain strict confidentiality of all proprietary information exchanged during the course of this project, as further detailed in the separate Non-Disclosure Agreement (NDA) to be executed concurrently.</w:t>
      </w:r>
    </w:p>
    <w:bookmarkEnd w:id="25"/>
    <w:bookmarkStart w:id="26" w:name="acceptance-and-authorization"/>
    <w:p>
      <w:pPr>
        <w:pStyle w:val="Heading3"/>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Consulting Group, Inc. to commence the</w:t>
      </w:r>
      <w:r>
        <w:t xml:space="preserve"> </w:t>
      </w:r>
      <w:r>
        <w:t xml:space="preserve">Project Manager</w:t>
      </w:r>
      <w:r>
        <w:t xml:space="preserve"> </w:t>
      </w:r>
      <w:r>
        <w:t xml:space="preserve">engagement in</w:t>
      </w:r>
      <w:r>
        <w:t xml:space="preserve"> </w:t>
      </w:r>
      <w:r>
        <w:t xml:space="preserve">United States San Francisco</w:t>
      </w:r>
      <w:r>
        <w:t xml:space="preserve"> </w:t>
      </w:r>
      <w:r>
        <w:t xml:space="preserve">under the terms and conditions outlined herein.</w:t>
      </w:r>
    </w:p>
    <w:p>
      <w:pPr>
        <w:pStyle w:val="BodyText"/>
      </w:pPr>
      <w:r>
        <w:rPr>
          <w:bCs/>
          <w:b/>
        </w:rPr>
        <w:t xml:space="preserve">For: Apex Digital Solutions LLC</w:t>
      </w:r>
    </w:p>
    <w:p>
      <w:pPr>
        <w:pStyle w:val="BodyText"/>
      </w:pPr>
      <w:r>
        <w:t xml:space="preserve">Authorized Signature / Date</w:t>
      </w:r>
    </w:p>
    <w:p>
      <w:pPr>
        <w:pStyle w:val="BodyText"/>
      </w:pPr>
      <w:r>
        <w:t xml:space="preserve">Name: _________________________</w:t>
      </w:r>
    </w:p>
    <w:p>
      <w:pPr>
        <w:pStyle w:val="BodyText"/>
      </w:pPr>
      <w:r>
        <w:t xml:space="preserve">Title: _________________________</w:t>
      </w:r>
    </w:p>
    <w:p>
      <w:pPr>
        <w:pStyle w:val="BodyText"/>
      </w:pPr>
      <w:r>
        <w:rPr>
          <w:bCs/>
          <w:b/>
        </w:rPr>
        <w:t xml:space="preserve">For: Meridian Consulting Group, Inc.</w:t>
      </w:r>
    </w:p>
    <w:p>
      <w:pPr>
        <w:pStyle w:val="BodyText"/>
      </w:pPr>
      <w:r>
        <w:t xml:space="preserve">Authorized Signature / Date</w:t>
      </w:r>
    </w:p>
    <w:p>
      <w:pPr>
        <w:pStyle w:val="BodyText"/>
      </w:pPr>
      <w:r>
        <w:t xml:space="preserve">Name: _________________________</w:t>
      </w:r>
    </w:p>
    <w:p>
      <w:pPr>
        <w:pStyle w:val="BodyText"/>
      </w:pPr>
      <w:r>
        <w:t xml:space="preserve">Title: _________________________</w:t>
      </w:r>
    </w:p>
    <w:bookmarkEnd w:id="26"/>
    <w:p>
      <w:pPr>
        <w:pStyle w:val="BodyText"/>
      </w:pPr>
      <w:r>
        <w:t xml:space="preserve">Meridian Consulting Group, Inc. | 1455 Market Street, Suite 2800, San Francisco, CA 94103 | United States</w:t>
      </w:r>
    </w:p>
    <w:p>
      <w:pPr>
        <w:pStyle w:val="BodyText"/>
      </w:pPr>
      <w:r>
        <w:t xml:space="preserve">This Quotation Estimate (Ref: QTE-2025-SF-0472) was generated on June 12, 2025. All amounts are in United States Dollars (USD).</w:t>
      </w:r>
    </w:p>
    <w:p>
      <w:pPr>
        <w:pStyle w:val="BodyText"/>
      </w:pPr>
      <w:r>
        <w:t xml:space="preserve">Page 1 of 1 | Confidential – For Client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United States San Francisco</dc:title>
  <dc:creator/>
  <dc:language>en</dc:language>
  <cp:keywords/>
  <dcterms:created xsi:type="dcterms:W3CDTF">2026-10-10T04:11:50Z</dcterms:created>
  <dcterms:modified xsi:type="dcterms:W3CDTF">2026-10-10T04:11:50Z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