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Psychiatrist</w:t>
      </w:r>
      <w:r>
        <w:t xml:space="preserve"> </w:t>
      </w:r>
      <w:r>
        <w:t xml:space="preserve">Services</w:t>
      </w:r>
      <w:r>
        <w:t xml:space="preserve"> </w:t>
      </w:r>
      <w:r>
        <w:t xml:space="preserve">-</w:t>
      </w:r>
      <w:r>
        <w:t xml:space="preserve"> </w:t>
      </w:r>
      <w:r>
        <w:t xml:space="preserve">Egypt</w:t>
      </w:r>
      <w:r>
        <w:t xml:space="preserve"> </w:t>
      </w:r>
      <w:r>
        <w:t xml:space="preserve">Alexandria</w:t>
      </w:r>
    </w:p>
    <w:bookmarkStart w:id="20" w:name="quotation-estimate"/>
    <w:p>
      <w:pPr>
        <w:pStyle w:val="Heading1"/>
      </w:pPr>
      <w:r>
        <w:t xml:space="preserve">QUOTATION ESTIMATE</w:t>
      </w:r>
    </w:p>
    <w:p>
      <w:pPr>
        <w:pStyle w:val="FirstParagraph"/>
      </w:pPr>
      <w:r>
        <w:t xml:space="preserve">Professional Psychiatrist Services — Egypt Alexandria</w:t>
      </w:r>
    </w:p>
    <w:p>
      <w:pPr>
        <w:pStyle w:val="BodyText"/>
      </w:pPr>
      <w:r>
        <w:t xml:space="preserve">Alexandria Mental Health &amp; Wellness Center</w:t>
      </w:r>
    </w:p>
    <w:bookmarkEnd w:id="20"/>
    <w:p>
      <w:pPr>
        <w:pStyle w:val="BodyText"/>
      </w:pPr>
      <w:r>
        <w:rPr>
          <w:bCs/>
          <w:b/>
        </w:rPr>
        <w:t xml:space="preserve">Quotation No.:</w:t>
      </w:r>
      <w:r>
        <w:t xml:space="preserve"> </w:t>
      </w:r>
      <w:r>
        <w:t xml:space="preserve">QTE-ALX-2025-04782</w:t>
      </w:r>
      <w:r>
        <w:t xml:space="preserve"> </w:t>
      </w:r>
      <w:r>
        <w:rPr>
          <w:bCs/>
          <w:b/>
        </w:rPr>
        <w:t xml:space="preserve">Date of Issue:</w:t>
      </w:r>
      <w:r>
        <w:t xml:space="preserve"> </w:t>
      </w:r>
      <w:r>
        <w:t xml:space="preserve">15 June 2025</w:t>
      </w:r>
      <w:r>
        <w:t xml:space="preserve"> </w:t>
      </w:r>
      <w:r>
        <w:rPr>
          <w:bCs/>
          <w:b/>
        </w:rPr>
        <w:t xml:space="preserve">Valid Until:</w:t>
      </w:r>
      <w:r>
        <w:t xml:space="preserve"> </w:t>
      </w:r>
      <w:r>
        <w:t xml:space="preserve">15 July 2025</w:t>
      </w:r>
    </w:p>
    <w:p>
      <w:pPr>
        <w:pStyle w:val="BodyText"/>
      </w:pPr>
      <w:r>
        <w:rPr>
          <w:bCs/>
          <w:b/>
        </w:rPr>
        <w:t xml:space="preserve">Prepared By:</w:t>
      </w:r>
      <w:r>
        <w:t xml:space="preserve"> </w:t>
      </w:r>
      <w:r>
        <w:t xml:space="preserve">Dr. Hana El-Sayed, MD, PhD</w:t>
      </w:r>
      <w:r>
        <w:t xml:space="preserve"> </w:t>
      </w:r>
      <w:r>
        <w:rPr>
          <w:bCs/>
          <w:b/>
        </w:rPr>
        <w:t xml:space="preserve">Specialty:</w:t>
      </w:r>
      <w:r>
        <w:t xml:space="preserve"> </w:t>
      </w:r>
      <w:r>
        <w:t xml:space="preserve">Psychiatrist — Clinical &amp; Forensic Psychiatry</w:t>
      </w:r>
      <w:r>
        <w:t xml:space="preserve"> </w:t>
      </w:r>
      <w:r>
        <w:rPr>
          <w:bCs/>
          <w:b/>
        </w:rPr>
        <w:t xml:space="preserve">License No.:</w:t>
      </w:r>
      <w:r>
        <w:t xml:space="preserve"> </w:t>
      </w:r>
      <w:r>
        <w:t xml:space="preserve">EGY-PSY-2019-00347</w:t>
      </w:r>
    </w:p>
    <w:p>
      <w:pPr>
        <w:pStyle w:val="BodyText"/>
      </w:pPr>
      <w:r>
        <w:t xml:space="preserve">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[Client / Organization Name]</w:t>
            </w:r>
          </w:p>
        </w:tc>
      </w:tr>
      <w:tr>
        <w:tc>
          <w:tcPr/>
          <w:p>
            <w:pPr>
              <w:pStyle w:val="Compact"/>
              <w:jc w:val="left"/>
            </w:pPr>
            <w:r>
              <w:rPr>
                <w:bCs/>
                <w:b/>
              </w:rPr>
              <w:t xml:space="preserve">Address:</w:t>
            </w:r>
          </w:p>
        </w:tc>
        <w:tc>
          <w:tcPr/>
          <w:p>
            <w:pPr>
              <w:pStyle w:val="Compact"/>
              <w:jc w:val="left"/>
            </w:pPr>
            <w:r>
              <w:t xml:space="preserve">[Street, District], Egypt Alexandria, 21411, Egypt</w:t>
            </w:r>
          </w:p>
        </w:tc>
      </w:tr>
      <w:tr>
        <w:tc>
          <w:tcPr/>
          <w:p>
            <w:pPr>
              <w:pStyle w:val="Compact"/>
              <w:jc w:val="left"/>
            </w:pPr>
            <w:r>
              <w:rPr>
                <w:bCs/>
                <w:b/>
              </w:rPr>
              <w:t xml:space="preserve">Contact Number:</w:t>
            </w:r>
          </w:p>
        </w:tc>
        <w:tc>
          <w:tcPr/>
          <w:p>
            <w:pPr>
              <w:pStyle w:val="Compact"/>
              <w:jc w:val="left"/>
            </w:pPr>
            <w:r>
              <w:t xml:space="preserve">[+20 XX XXX XXXX]</w:t>
            </w:r>
          </w:p>
        </w:tc>
      </w:tr>
      <w:tr>
        <w:tc>
          <w:tcPr/>
          <w:p>
            <w:pPr>
              <w:pStyle w:val="Compact"/>
              <w:jc w:val="left"/>
            </w:pPr>
            <w:r>
              <w:rPr>
                <w:bCs/>
                <w:b/>
              </w:rPr>
              <w:t xml:space="preserve">Email:</w:t>
            </w:r>
          </w:p>
        </w:tc>
        <w:tc>
          <w:tcPr/>
          <w:p>
            <w:pPr>
              <w:pStyle w:val="Compact"/>
              <w:jc w:val="left"/>
            </w:pPr>
            <w:r>
              <w:t xml:space="preserve">[client.email@example.com]</w:t>
            </w:r>
          </w:p>
        </w:tc>
      </w:tr>
      <w:tr>
        <w:tc>
          <w:tcPr/>
          <w:p>
            <w:pPr>
              <w:pStyle w:val="Compact"/>
              <w:jc w:val="left"/>
            </w:pPr>
            <w:r>
              <w:rPr>
                <w:bCs/>
                <w:b/>
              </w:rPr>
              <w:t xml:space="preserve">Referral Source:</w:t>
            </w:r>
          </w:p>
        </w:tc>
        <w:tc>
          <w:tcPr/>
          <w:p>
            <w:pPr>
              <w:pStyle w:val="Compact"/>
              <w:jc w:val="left"/>
            </w:pPr>
            <w:r>
              <w:t xml:space="preserve">Self-Referral / Insurance Provider</w:t>
            </w:r>
          </w:p>
        </w:tc>
      </w:tr>
    </w:tbl>
    <w:p>
      <w:pPr>
        <w:pStyle w:val="BodyText"/>
      </w:pPr>
      <w:r>
        <w:t xml:space="preserve">Scope of Psychiatrist Services — Egypt Alexandria</w:t>
      </w:r>
    </w:p>
    <w:p>
      <w:pPr>
        <w:pStyle w:val="BodyText"/>
      </w:pPr>
      <w:r>
        <w:t xml:space="preserve">This</w:t>
      </w:r>
      <w:r>
        <w:t xml:space="preserve"> </w:t>
      </w:r>
      <w:r>
        <w:t xml:space="preserve">Quotation Estimate</w:t>
      </w:r>
      <w:r>
        <w:t xml:space="preserve"> </w:t>
      </w:r>
      <w:r>
        <w:t xml:space="preserve">is issued by the Alexandria Mental Health &amp; Wellness Center, a licensed psychiatric practice operating in the heart of</w:t>
      </w:r>
      <w:r>
        <w:t xml:space="preserve"> </w:t>
      </w:r>
      <w:r>
        <w:t xml:space="preserve">Egypt Alexandria</w:t>
      </w:r>
      <w:r>
        <w:t xml:space="preserve">. The following services are provided by a board-certified</w:t>
      </w:r>
      <w:r>
        <w:t xml:space="preserve"> </w:t>
      </w:r>
      <w:r>
        <w:t xml:space="preserve">Psychiatrist</w:t>
      </w:r>
      <w:r>
        <w:t xml:space="preserve"> </w:t>
      </w:r>
      <w:r>
        <w:t xml:space="preserve">specializing in adult and adolescent mental health, mood disorders, anxiety spectrum conditions, substance use disorders, and neurodevelopmental conditions. All clinical consultations and therapeutic interventions are conducted in compliance with the Egyptian Ministry of Health regulations and the Egyptian Medical Syndicate standards for psychiatric practice in the Alexandria Governorate.</w:t>
      </w:r>
    </w:p>
    <w:p>
      <w:pPr>
        <w:pStyle w:val="BodyText"/>
      </w:pPr>
      <w:r>
        <w:t xml:space="preserve">Itemized Services and Costs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 / Frequency</w:t>
            </w:r>
          </w:p>
        </w:tc>
        <w:tc>
          <w:tcPr/>
          <w:p>
            <w:pPr>
              <w:pStyle w:val="Compact"/>
              <w:jc w:val="left"/>
            </w:pPr>
            <w:r>
              <w:t xml:space="preserve">Unit Price (EGP)</w:t>
            </w:r>
          </w:p>
        </w:tc>
        <w:tc>
          <w:tcPr/>
          <w:p>
            <w:pPr>
              <w:pStyle w:val="Compact"/>
              <w:jc w:val="left"/>
            </w:pPr>
            <w:r>
              <w:t xml:space="preserve">Quantity</w:t>
            </w:r>
          </w:p>
        </w:tc>
        <w:tc>
          <w:tcPr/>
          <w:p>
            <w:pPr>
              <w:pStyle w:val="Compact"/>
              <w:jc w:val="left"/>
            </w:pPr>
            <w:r>
              <w:t xml:space="preserve">Subtotal (EGP)</w:t>
            </w:r>
          </w:p>
        </w:tc>
      </w:tr>
      <w:tr>
        <w:tc>
          <w:tcPr/>
          <w:p>
            <w:pPr>
              <w:pStyle w:val="Compact"/>
              <w:jc w:val="left"/>
            </w:pPr>
            <w:r>
              <w:t xml:space="preserve">1</w:t>
            </w:r>
          </w:p>
        </w:tc>
        <w:tc>
          <w:tcPr/>
          <w:p>
            <w:pPr>
              <w:pStyle w:val="Compact"/>
              <w:jc w:val="left"/>
            </w:pPr>
            <w:r>
              <w:t xml:space="preserve">Initial Comprehensive Psychiatric Assessment &amp; Diagnostic Evaluation by the Psychiatrist</w:t>
            </w:r>
          </w:p>
        </w:tc>
        <w:tc>
          <w:tcPr/>
          <w:p>
            <w:pPr>
              <w:pStyle w:val="Compact"/>
              <w:jc w:val="left"/>
            </w:pPr>
            <w:r>
              <w:t xml:space="preserve">90 minutes (one-time)</w:t>
            </w:r>
          </w:p>
        </w:tc>
        <w:tc>
          <w:tcPr/>
          <w:p>
            <w:pPr>
              <w:pStyle w:val="Compact"/>
              <w:jc w:val="left"/>
            </w:pPr>
            <w:r>
              <w:t xml:space="preserve">1,500</w:t>
            </w:r>
          </w:p>
        </w:tc>
        <w:tc>
          <w:tcPr/>
          <w:p>
            <w:pPr>
              <w:pStyle w:val="Compact"/>
              <w:jc w:val="left"/>
            </w:pPr>
            <w:r>
              <w:t xml:space="preserve">1</w:t>
            </w:r>
          </w:p>
        </w:tc>
        <w:tc>
          <w:tcPr/>
          <w:p>
            <w:pPr>
              <w:pStyle w:val="Compact"/>
              <w:jc w:val="left"/>
            </w:pPr>
            <w:r>
              <w:t xml:space="preserve">1,500</w:t>
            </w:r>
          </w:p>
        </w:tc>
      </w:tr>
      <w:tr>
        <w:tc>
          <w:tcPr/>
          <w:p>
            <w:pPr>
              <w:pStyle w:val="Compact"/>
              <w:jc w:val="left"/>
            </w:pPr>
            <w:r>
              <w:t xml:space="preserve">2</w:t>
            </w:r>
          </w:p>
        </w:tc>
        <w:tc>
          <w:tcPr/>
          <w:p>
            <w:pPr>
              <w:pStyle w:val="Compact"/>
              <w:jc w:val="left"/>
            </w:pPr>
            <w:r>
              <w:t xml:space="preserve">Follow-up Psychiatric Consultation &amp; Treatment Plan Review</w:t>
            </w:r>
          </w:p>
        </w:tc>
        <w:tc>
          <w:tcPr/>
          <w:p>
            <w:pPr>
              <w:pStyle w:val="Compact"/>
              <w:jc w:val="left"/>
            </w:pPr>
            <w:r>
              <w:t xml:space="preserve">45 minutes per session</w:t>
            </w:r>
          </w:p>
        </w:tc>
        <w:tc>
          <w:tcPr/>
          <w:p>
            <w:pPr>
              <w:pStyle w:val="Compact"/>
              <w:jc w:val="left"/>
            </w:pPr>
            <w:r>
              <w:t xml:space="preserve">1,000</w:t>
            </w:r>
          </w:p>
        </w:tc>
        <w:tc>
          <w:tcPr/>
          <w:p>
            <w:pPr>
              <w:pStyle w:val="Compact"/>
              <w:jc w:val="left"/>
            </w:pPr>
            <w:r>
              <w:t xml:space="preserve">12</w:t>
            </w:r>
          </w:p>
        </w:tc>
        <w:tc>
          <w:tcPr/>
          <w:p>
            <w:pPr>
              <w:pStyle w:val="Compact"/>
              <w:jc w:val="left"/>
            </w:pPr>
            <w:r>
              <w:t xml:space="preserve">12,000</w:t>
            </w:r>
          </w:p>
        </w:tc>
      </w:tr>
      <w:tr>
        <w:tc>
          <w:tcPr/>
          <w:p>
            <w:pPr>
              <w:pStyle w:val="Compact"/>
              <w:jc w:val="left"/>
            </w:pPr>
            <w:r>
              <w:t xml:space="preserve">3</w:t>
            </w:r>
          </w:p>
        </w:tc>
        <w:tc>
          <w:tcPr/>
          <w:p>
            <w:pPr>
              <w:pStyle w:val="Compact"/>
              <w:jc w:val="left"/>
            </w:pPr>
            <w:r>
              <w:t xml:space="preserve">Psychopharmacological Management &amp; Medication Prescribing (including prescription renewal)</w:t>
            </w:r>
          </w:p>
        </w:tc>
        <w:tc>
          <w:tcPr/>
          <w:p>
            <w:pPr>
              <w:pStyle w:val="Compact"/>
              <w:jc w:val="left"/>
            </w:pPr>
            <w:r>
              <w:t xml:space="preserve">Per visit</w:t>
            </w:r>
          </w:p>
        </w:tc>
        <w:tc>
          <w:tcPr/>
          <w:p>
            <w:pPr>
              <w:pStyle w:val="Compact"/>
              <w:jc w:val="left"/>
            </w:pPr>
            <w:r>
              <w:t xml:space="preserve">500</w:t>
            </w:r>
          </w:p>
        </w:tc>
        <w:tc>
          <w:tcPr/>
          <w:p>
            <w:pPr>
              <w:pStyle w:val="Compact"/>
              <w:jc w:val="left"/>
            </w:pPr>
            <w:r>
              <w:t xml:space="preserve">12</w:t>
            </w:r>
          </w:p>
        </w:tc>
        <w:tc>
          <w:tcPr/>
          <w:p>
            <w:pPr>
              <w:pStyle w:val="Compact"/>
              <w:jc w:val="left"/>
            </w:pPr>
            <w:r>
              <w:t xml:space="preserve">6,000</w:t>
            </w:r>
          </w:p>
        </w:tc>
      </w:tr>
      <w:tr>
        <w:tc>
          <w:tcPr/>
          <w:p>
            <w:pPr>
              <w:pStyle w:val="Compact"/>
              <w:jc w:val="left"/>
            </w:pPr>
            <w:r>
              <w:t xml:space="preserve">4</w:t>
            </w:r>
          </w:p>
        </w:tc>
        <w:tc>
          <w:tcPr/>
          <w:p>
            <w:pPr>
              <w:pStyle w:val="Compact"/>
              <w:jc w:val="left"/>
            </w:pPr>
            <w:r>
              <w:t xml:space="preserve">Cognitive-Behavioral Therapy (CBT) Sessions conducted by the Psychiatrist or supervised clinical psychologist</w:t>
            </w:r>
          </w:p>
        </w:tc>
        <w:tc>
          <w:tcPr/>
          <w:p>
            <w:pPr>
              <w:pStyle w:val="Compact"/>
              <w:jc w:val="left"/>
            </w:pPr>
            <w:r>
              <w:t xml:space="preserve">60 minutes per session</w:t>
            </w:r>
          </w:p>
        </w:tc>
        <w:tc>
          <w:tcPr/>
          <w:p>
            <w:pPr>
              <w:pStyle w:val="Compact"/>
              <w:jc w:val="left"/>
            </w:pPr>
            <w:r>
              <w:t xml:space="preserve">1,200</w:t>
            </w:r>
          </w:p>
        </w:tc>
        <w:tc>
          <w:tcPr/>
          <w:p>
            <w:pPr>
              <w:pStyle w:val="Compact"/>
              <w:jc w:val="left"/>
            </w:pPr>
            <w:r>
              <w:t xml:space="preserve">16</w:t>
            </w:r>
          </w:p>
        </w:tc>
        <w:tc>
          <w:tcPr/>
          <w:p>
            <w:pPr>
              <w:pStyle w:val="Compact"/>
              <w:jc w:val="left"/>
            </w:pPr>
            <w:r>
              <w:t xml:space="preserve">19,200</w:t>
            </w:r>
          </w:p>
        </w:tc>
      </w:tr>
      <w:tr>
        <w:tc>
          <w:tcPr/>
          <w:p>
            <w:pPr>
              <w:pStyle w:val="Compact"/>
              <w:jc w:val="left"/>
            </w:pPr>
            <w:r>
              <w:t xml:space="preserve">5</w:t>
            </w:r>
          </w:p>
        </w:tc>
        <w:tc>
          <w:tcPr/>
          <w:p>
            <w:pPr>
              <w:pStyle w:val="Compact"/>
              <w:jc w:val="left"/>
            </w:pPr>
            <w:r>
              <w:t xml:space="preserve">Psychological Testing &amp; Neuropsychological Battery Administration (e.g., MMSE, PHQ-9, GAD-7, BDI)</w:t>
            </w:r>
          </w:p>
        </w:tc>
        <w:tc>
          <w:tcPr/>
          <w:p>
            <w:pPr>
              <w:pStyle w:val="Compact"/>
              <w:jc w:val="left"/>
            </w:pPr>
            <w:r>
              <w:t xml:space="preserve">One-time assessment</w:t>
            </w:r>
          </w:p>
        </w:tc>
        <w:tc>
          <w:tcPr/>
          <w:p>
            <w:pPr>
              <w:pStyle w:val="Compact"/>
              <w:jc w:val="left"/>
            </w:pPr>
            <w:r>
              <w:t xml:space="preserve">2,500</w:t>
            </w:r>
          </w:p>
        </w:tc>
        <w:tc>
          <w:tcPr/>
          <w:p>
            <w:pPr>
              <w:pStyle w:val="Compact"/>
              <w:jc w:val="left"/>
            </w:pPr>
            <w:r>
              <w:t xml:space="preserve">1</w:t>
            </w:r>
          </w:p>
        </w:tc>
        <w:tc>
          <w:tcPr/>
          <w:p>
            <w:pPr>
              <w:pStyle w:val="Compact"/>
              <w:jc w:val="left"/>
            </w:pPr>
            <w:r>
              <w:t xml:space="preserve">2,500</w:t>
            </w:r>
          </w:p>
        </w:tc>
      </w:tr>
      <w:tr>
        <w:tc>
          <w:tcPr/>
          <w:p>
            <w:pPr>
              <w:pStyle w:val="Compact"/>
              <w:jc w:val="left"/>
            </w:pPr>
            <w:r>
              <w:t xml:space="preserve">6</w:t>
            </w:r>
          </w:p>
        </w:tc>
        <w:tc>
          <w:tcPr/>
          <w:p>
            <w:pPr>
              <w:pStyle w:val="Compact"/>
              <w:jc w:val="left"/>
            </w:pPr>
            <w:r>
              <w:t xml:space="preserve">Family Psychoeducation &amp; Supportive Counseling Session</w:t>
            </w:r>
          </w:p>
        </w:tc>
        <w:tc>
          <w:tcPr/>
          <w:p>
            <w:pPr>
              <w:pStyle w:val="Compact"/>
              <w:jc w:val="left"/>
            </w:pPr>
            <w:r>
              <w:t xml:space="preserve">60 minutes per session</w:t>
            </w:r>
          </w:p>
        </w:tc>
        <w:tc>
          <w:tcPr/>
          <w:p>
            <w:pPr>
              <w:pStyle w:val="Compact"/>
              <w:jc w:val="left"/>
            </w:pPr>
            <w:r>
              <w:t xml:space="preserve">1,100</w:t>
            </w:r>
          </w:p>
        </w:tc>
        <w:tc>
          <w:tcPr/>
          <w:p>
            <w:pPr>
              <w:pStyle w:val="Compact"/>
              <w:jc w:val="left"/>
            </w:pPr>
            <w:r>
              <w:t xml:space="preserve">4</w:t>
            </w:r>
          </w:p>
        </w:tc>
        <w:tc>
          <w:tcPr/>
          <w:p>
            <w:pPr>
              <w:pStyle w:val="Compact"/>
              <w:jc w:val="left"/>
            </w:pPr>
            <w:r>
              <w:t xml:space="preserve">4,400</w:t>
            </w:r>
          </w:p>
        </w:tc>
      </w:tr>
      <w:tr>
        <w:tc>
          <w:tcPr/>
          <w:p>
            <w:pPr>
              <w:pStyle w:val="Compact"/>
              <w:jc w:val="left"/>
            </w:pPr>
            <w:r>
              <w:t xml:space="preserve">7</w:t>
            </w:r>
          </w:p>
        </w:tc>
        <w:tc>
          <w:tcPr/>
          <w:p>
            <w:pPr>
              <w:pStyle w:val="Compact"/>
              <w:jc w:val="left"/>
            </w:pPr>
            <w:r>
              <w:t xml:space="preserve">Urgent / After-Hours Psychiatric Consultation (available 7 days a week in Egypt Alexandria)</w:t>
            </w:r>
          </w:p>
        </w:tc>
        <w:tc>
          <w:tcPr/>
          <w:p>
            <w:pPr>
              <w:pStyle w:val="Compact"/>
              <w:jc w:val="left"/>
            </w:pPr>
            <w:r>
              <w:t xml:space="preserve">30 minutes per session</w:t>
            </w:r>
          </w:p>
        </w:tc>
        <w:tc>
          <w:tcPr/>
          <w:p>
            <w:pPr>
              <w:pStyle w:val="Compact"/>
              <w:jc w:val="left"/>
            </w:pPr>
            <w:r>
              <w:t xml:space="preserve">1,800</w:t>
            </w:r>
          </w:p>
        </w:tc>
        <w:tc>
          <w:tcPr/>
          <w:p>
            <w:pPr>
              <w:pStyle w:val="Compact"/>
              <w:jc w:val="left"/>
            </w:pPr>
            <w:r>
              <w:t xml:space="preserve">2</w:t>
            </w:r>
          </w:p>
        </w:tc>
        <w:tc>
          <w:tcPr/>
          <w:p>
            <w:pPr>
              <w:pStyle w:val="Compact"/>
              <w:jc w:val="left"/>
            </w:pPr>
            <w:r>
              <w:t xml:space="preserve">3,600</w:t>
            </w:r>
          </w:p>
        </w:tc>
      </w:tr>
      <w:tr>
        <w:tc>
          <w:tcPr/>
          <w:p>
            <w:pPr>
              <w:pStyle w:val="Compact"/>
              <w:jc w:val="left"/>
            </w:pPr>
            <w:r>
              <w:t xml:space="preserve">8</w:t>
            </w:r>
          </w:p>
        </w:tc>
        <w:tc>
          <w:tcPr/>
          <w:p>
            <w:pPr>
              <w:pStyle w:val="Compact"/>
              <w:jc w:val="left"/>
            </w:pPr>
            <w:r>
              <w:t xml:space="preserve">Written Medical Report &amp; Diagnostic Certificate (for insurance, legal, or employment purposes)</w:t>
            </w:r>
          </w:p>
        </w:tc>
        <w:tc>
          <w:tcPr/>
          <w:p>
            <w:pPr>
              <w:pStyle w:val="Compact"/>
              <w:jc w:val="left"/>
            </w:pPr>
            <w:r>
              <w:t xml:space="preserve">Per document</w:t>
            </w:r>
          </w:p>
        </w:tc>
        <w:tc>
          <w:tcPr/>
          <w:p>
            <w:pPr>
              <w:pStyle w:val="Compact"/>
              <w:jc w:val="left"/>
            </w:pPr>
            <w:r>
              <w:t xml:space="preserve">800</w:t>
            </w:r>
          </w:p>
        </w:tc>
        <w:tc>
          <w:tcPr/>
          <w:p>
            <w:pPr>
              <w:pStyle w:val="Compact"/>
              <w:jc w:val="left"/>
            </w:pPr>
            <w:r>
              <w:t xml:space="preserve">2</w:t>
            </w:r>
          </w:p>
        </w:tc>
        <w:tc>
          <w:tcPr/>
          <w:p>
            <w:pPr>
              <w:pStyle w:val="Compact"/>
              <w:jc w:val="left"/>
            </w:pPr>
            <w:r>
              <w:t xml:space="preserve">1,600</w:t>
            </w:r>
          </w:p>
        </w:tc>
      </w:tr>
      <w:tr>
        <w:tc>
          <w:tcPr/>
          <w:p>
            <w:pPr>
              <w:pStyle w:val="Compact"/>
              <w:jc w:val="left"/>
            </w:pPr>
            <w:r>
              <w:t xml:space="preserve">9</w:t>
            </w:r>
          </w:p>
        </w:tc>
        <w:tc>
          <w:tcPr/>
          <w:p>
            <w:pPr>
              <w:pStyle w:val="Compact"/>
              <w:jc w:val="left"/>
            </w:pPr>
            <w:r>
              <w:t xml:space="preserve">Telepsychiatry / Video Consultation (for clients residing in outer districts of Egypt Alexandria)</w:t>
            </w:r>
          </w:p>
        </w:tc>
        <w:tc>
          <w:tcPr/>
          <w:p>
            <w:pPr>
              <w:pStyle w:val="Compact"/>
              <w:jc w:val="left"/>
            </w:pPr>
            <w:r>
              <w:t xml:space="preserve">45 minutes per session</w:t>
            </w:r>
          </w:p>
        </w:tc>
        <w:tc>
          <w:tcPr/>
          <w:p>
            <w:pPr>
              <w:pStyle w:val="Compact"/>
              <w:jc w:val="left"/>
            </w:pPr>
            <w:r>
              <w:t xml:space="preserve">900</w:t>
            </w:r>
          </w:p>
        </w:tc>
        <w:tc>
          <w:tcPr/>
          <w:p>
            <w:pPr>
              <w:pStyle w:val="Compact"/>
              <w:jc w:val="left"/>
            </w:pPr>
            <w:r>
              <w:t xml:space="preserve">4</w:t>
            </w:r>
          </w:p>
        </w:tc>
        <w:tc>
          <w:tcPr/>
          <w:p>
            <w:pPr>
              <w:pStyle w:val="Compact"/>
              <w:jc w:val="left"/>
            </w:pPr>
            <w:r>
              <w:t xml:space="preserve">3,600</w:t>
            </w:r>
          </w:p>
        </w:tc>
      </w:tr>
      <w:tr>
        <w:tc>
          <w:tcPr>
            <w:gridSpan w:val="5"/>
          </w:tcPr>
          <w:p>
            <w:pPr>
              <w:pStyle w:val="Compact"/>
              <w:jc w:val="right"/>
            </w:pPr>
            <w:r>
              <w:t xml:space="preserve">TOTAL ESTIMATED COST (EGP):</w:t>
            </w:r>
          </w:p>
        </w:tc>
        <w:tc>
          <w:tcPr/>
          <w:p>
            <w:pPr>
              <w:pStyle w:val="Compact"/>
              <w:jc w:val="left"/>
            </w:pPr>
            <w:r>
              <w:t xml:space="preserve">54,400</w:t>
            </w:r>
          </w:p>
        </w:tc>
      </w:tr>
      <w:tr>
        <w:tc>
          <w:tcPr>
            <w:gridSpan w:val="5"/>
          </w:tcPr>
          <w:p>
            <w:pPr>
              <w:pStyle w:val="Compact"/>
              <w:jc w:val="right"/>
            </w:pPr>
            <w:r>
              <w:t xml:space="preserve">VAT (14% — Egyptian Tax Authority):</w:t>
            </w:r>
          </w:p>
        </w:tc>
        <w:tc>
          <w:tcPr/>
          <w:p>
            <w:pPr>
              <w:pStyle w:val="Compact"/>
              <w:jc w:val="left"/>
            </w:pPr>
            <w:r>
              <w:t xml:space="preserve">7,616</w:t>
            </w:r>
          </w:p>
        </w:tc>
      </w:tr>
      <w:tr>
        <w:tc>
          <w:tcPr>
            <w:gridSpan w:val="5"/>
          </w:tcPr>
          <w:p>
            <w:pPr>
              <w:pStyle w:val="Compact"/>
              <w:jc w:val="right"/>
            </w:pPr>
            <w:r>
              <w:t xml:space="preserve">GRAND TOTAL (EGP):</w:t>
            </w:r>
          </w:p>
        </w:tc>
        <w:tc>
          <w:tcPr/>
          <w:p>
            <w:pPr>
              <w:pStyle w:val="Compact"/>
              <w:jc w:val="left"/>
            </w:pPr>
            <w:r>
              <w:t xml:space="preserve">62,016</w:t>
            </w:r>
          </w:p>
        </w:tc>
      </w:tr>
    </w:tbl>
    <w:p>
      <w:pPr>
        <w:pStyle w:val="BodyText"/>
      </w:pPr>
      <w:r>
        <w:rPr>
          <w:bCs/>
          <w:b/>
        </w:rPr>
        <w:t xml:space="preserve">Note:</w:t>
      </w:r>
      <w:r>
        <w:t xml:space="preserve"> </w:t>
      </w:r>
      <w:r>
        <w:t xml:space="preserve">This</w:t>
      </w:r>
      <w:r>
        <w:t xml:space="preserve"> </w:t>
      </w:r>
      <w:r>
        <w:t xml:space="preserve">Quotation Estimate</w:t>
      </w:r>
      <w:r>
        <w:t xml:space="preserve"> </w:t>
      </w:r>
      <w:r>
        <w:t xml:space="preserve">is a good-faith estimate of the Psychiatrist services to be rendered in Egypt Alexandria over an estimated 12-week treatment period. Actual costs may vary depending on the clinical progression, additional diagnostic needs, or changes in the treatment plan as determined by the treating Psychiatrist. All prices are quoted in Egyptian Pounds (EGP) and are subject to revision in accordance with the Egyptian Medical Syndicate fee schedule updates.</w:t>
      </w:r>
    </w:p>
    <w:p>
      <w:pPr>
        <w:pStyle w:val="BodyText"/>
      </w:pPr>
      <w:r>
        <w:t xml:space="preserve">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Beyond this period, the Psychiatrist services and associated fees in Egypt Alexandria may be subject to revision.</w:t>
      </w:r>
    </w:p>
    <w:p>
      <w:pPr>
        <w:numPr>
          <w:ilvl w:val="0"/>
          <w:numId w:val="1001"/>
        </w:numPr>
        <w:pStyle w:val="Compact"/>
      </w:pPr>
      <w:r>
        <w:t xml:space="preserve">Payment is due within fourteen (14) days of the date of this Quotation Estimate. Accepted payment methods include bank transfer (CIB, NBE, or Heliopolis Bank), cash at the Alexandria clinic office, or approved insurance reimbursement.</w:t>
      </w:r>
    </w:p>
    <w:p>
      <w:pPr>
        <w:numPr>
          <w:ilvl w:val="0"/>
          <w:numId w:val="1001"/>
        </w:numPr>
        <w:pStyle w:val="Compact"/>
      </w:pPr>
      <w:r>
        <w:t xml:space="preserve">A 50% deposit is required to secure the initial appointment with the Psychiatrist. The remaining balance is payable upon completion of the treatment cycle or in monthly installments as agreed in writing.</w:t>
      </w:r>
    </w:p>
    <w:p>
      <w:pPr>
        <w:numPr>
          <w:ilvl w:val="0"/>
          <w:numId w:val="1001"/>
        </w:numPr>
        <w:pStyle w:val="Compact"/>
      </w:pPr>
      <w:r>
        <w:t xml:space="preserve">All psychiatric records, diagnostic reports, and treatment notes are maintained in strict confidentiality in accordance with Egyptian Law No. 10 of 2018 on the Protection of Personal Data and the ethical code of the Egyptian Medical Syndicate.</w:t>
      </w:r>
    </w:p>
    <w:p>
      <w:pPr>
        <w:numPr>
          <w:ilvl w:val="0"/>
          <w:numId w:val="1001"/>
        </w:numPr>
        <w:pStyle w:val="Compact"/>
      </w:pPr>
      <w:r>
        <w:t xml:space="preserve">Cancellation of a scheduled Psychiatrist session must be communicated at least 24 hours in advance. Late cancellations or no-shows will incur a 50% fee of the session cost.</w:t>
      </w:r>
    </w:p>
    <w:p>
      <w:pPr>
        <w:numPr>
          <w:ilvl w:val="0"/>
          <w:numId w:val="1001"/>
        </w:numPr>
        <w:pStyle w:val="Compact"/>
      </w:pPr>
      <w:r>
        <w:t xml:space="preserve">The treating Psychiatrist reserves the right to modify the treatment plan, refer the client to a specialist in Egypt Alexandria, or discontinue services if clinical judgment deems it necessary for the patient's safety and well-being.</w:t>
      </w:r>
    </w:p>
    <w:p>
      <w:pPr>
        <w:numPr>
          <w:ilvl w:val="0"/>
          <w:numId w:val="1001"/>
        </w:numPr>
        <w:pStyle w:val="Compact"/>
      </w:pPr>
      <w:r>
        <w:t xml:space="preserve">This Quotation Estimate does not constitute a binding contract until both parties have signed and dated the document. Upon acceptance, a formal Service Agreement will be executed.</w:t>
      </w:r>
    </w:p>
    <w:p>
      <w:pPr>
        <w:numPr>
          <w:ilvl w:val="0"/>
          <w:numId w:val="1001"/>
        </w:numPr>
        <w:pStyle w:val="Compact"/>
      </w:pPr>
      <w:r>
        <w:t xml:space="preserve">The clinic is located at 42 Corniche El-Nil Street, Smouha District, Egypt Alexandria, and is accessible via public transportation. Parking is available on-site for a nominal fee.</w:t>
      </w:r>
    </w:p>
    <w:p>
      <w:pPr>
        <w:numPr>
          <w:ilvl w:val="0"/>
          <w:numId w:val="1001"/>
        </w:numPr>
        <w:pStyle w:val="Compact"/>
      </w:pPr>
      <w:r>
        <w:t xml:space="preserve">Any disputes arising from the services described in this Quotation Estimate shall be resolved through the Egyptian Medical Syndicate arbitration panel in Alexandria before resorting to judicial proceedings.</w:t>
      </w:r>
    </w:p>
    <w:p>
      <w:pPr>
        <w:pStyle w:val="FirstParagraph"/>
      </w:pPr>
      <w:r>
        <w:t xml:space="preserve">Acceptance and Authorization</w:t>
      </w:r>
    </w:p>
    <w:p>
      <w:pPr>
        <w:pStyle w:val="BodyText"/>
      </w:pPr>
      <w:r>
        <w:t xml:space="preserve">By signing below, the client acknowledges receipt of this</w:t>
      </w:r>
      <w:r>
        <w:t xml:space="preserve"> </w:t>
      </w:r>
      <w:r>
        <w:t xml:space="preserve">Quotation Estimate</w:t>
      </w:r>
      <w:r>
        <w:t xml:space="preserve"> </w:t>
      </w:r>
      <w:r>
        <w:t xml:space="preserve">for Psychiatrist services in Egypt Alexandria and agrees to the terms, conditions, and estimated costs outlined herein. The client confirms that they have had the opportunity to ask questions regarding the scope of services, the qualifications of the treating Psychiatrist, and the billing structure.</w:t>
      </w:r>
    </w:p>
    <w:p>
      <w:pPr>
        <w:pStyle w:val="BodyText"/>
      </w:pPr>
      <w:r>
        <w:rPr>
          <w:bCs/>
          <w:b/>
        </w:rPr>
        <w:t xml:space="preserve">Client Signature</w:t>
      </w:r>
      <w:r>
        <w:br/>
      </w:r>
      <w:r>
        <w:t xml:space="preserve">Name: _________________________</w:t>
      </w:r>
      <w:r>
        <w:br/>
      </w:r>
      <w:r>
        <w:t xml:space="preserve">Date: _________________________</w:t>
      </w:r>
    </w:p>
    <w:p>
      <w:pPr>
        <w:pStyle w:val="BodyText"/>
      </w:pPr>
      <w:r>
        <w:rPr>
          <w:bCs/>
          <w:b/>
        </w:rPr>
        <w:t xml:space="preserve">Psychiatrist / Authorized Representative</w:t>
      </w:r>
      <w:r>
        <w:br/>
      </w:r>
      <w:r>
        <w:t xml:space="preserve">Dr. Hana El-Sayed, MD, PhD</w:t>
      </w:r>
      <w:r>
        <w:br/>
      </w:r>
      <w:r>
        <w:t xml:space="preserve">Alexandria Mental Health &amp; Wellness Center</w:t>
      </w:r>
      <w:r>
        <w:br/>
      </w:r>
      <w:r>
        <w:t xml:space="preserve">Date: _________________________</w:t>
      </w:r>
    </w:p>
    <w:p>
      <w:pPr>
        <w:pStyle w:val="BodyText"/>
      </w:pPr>
      <w:r>
        <w:t xml:space="preserve">Alexandria Mental Health &amp; Wellness Center — 42 Corniche El-Nil St., Smouha, Egypt Alexandria 21411</w:t>
      </w:r>
      <w:r>
        <w:br/>
      </w:r>
      <w:r>
        <w:t xml:space="preserve">Tel: +20 3 485 1234 | Email: info@alexmentalhealth.eg | License: EGY-MH-2020-00891</w:t>
      </w:r>
      <w:r>
        <w:br/>
      </w:r>
      <w:r>
        <w:t xml:space="preserve">This Quotation Estimate is the property of the issuing clinic. Unauthorized reproduction is prohibited under Egyptian intellectual property law.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Psychiatrist Services - Egypt Alexandria</dc:title>
  <dc:creator/>
  <dc:language>en</dc:language>
  <cp:keywords/>
  <dcterms:created xsi:type="dcterms:W3CDTF">2026-10-10T02:44:12Z</dcterms:created>
  <dcterms:modified xsi:type="dcterms:W3CDTF">2026-10-10T02:44:12Z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