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Psychiatrist Services — France Marseille</w:t>
      </w:r>
    </w:p>
    <w:p>
      <w:pPr>
        <w:pStyle w:val="BodyText"/>
      </w:pPr>
      <w:r>
        <w:t xml:space="preserve">Document Reference: QTE-PSY-2025-0417 | Issued: 17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Provider</w:t>
            </w:r>
          </w:p>
        </w:tc>
        <w:tc>
          <w:tcPr/>
          <w:p>
            <w:pPr>
              <w:pStyle w:val="Compact"/>
              <w:jc w:val="left"/>
            </w:pPr>
            <w:r>
              <w:t xml:space="preserve">Cabinet de Psychiatrie du Vieux-Port, 42 Rue Sainte, 13007 Marseille, France</w:t>
            </w:r>
          </w:p>
        </w:tc>
      </w:tr>
      <w:tr>
        <w:tc>
          <w:tcPr/>
          <w:p>
            <w:pPr>
              <w:pStyle w:val="Compact"/>
              <w:jc w:val="left"/>
            </w:pPr>
            <w:r>
              <w:t xml:space="preserve">Lead Psychiatrist</w:t>
            </w:r>
          </w:p>
        </w:tc>
        <w:tc>
          <w:tcPr/>
          <w:p>
            <w:pPr>
              <w:pStyle w:val="Compact"/>
              <w:jc w:val="left"/>
            </w:pPr>
            <w:r>
              <w:t xml:space="preserve">Dr. Élodie Marchand, MD, PhD in Psychiatry — Registered with the Ordre des Médecins (N° ADE-13-2019-4472)</w:t>
            </w:r>
          </w:p>
        </w:tc>
      </w:tr>
      <w:tr>
        <w:tc>
          <w:tcPr/>
          <w:p>
            <w:pPr>
              <w:pStyle w:val="Compact"/>
              <w:jc w:val="left"/>
            </w:pPr>
            <w:r>
              <w:t xml:space="preserve">Client / Patient</w:t>
            </w:r>
          </w:p>
        </w:tc>
        <w:tc>
          <w:tcPr/>
          <w:p>
            <w:pPr>
              <w:pStyle w:val="Compact"/>
              <w:jc w:val="left"/>
            </w:pPr>
            <w:r>
              <w:t xml:space="preserve">Mr. Jean-Luc Ferrand — 18 Chemin des Oliviers, 13008 Marseille, France</w:t>
            </w:r>
          </w:p>
        </w:tc>
      </w:tr>
      <w:tr>
        <w:tc>
          <w:tcPr/>
          <w:p>
            <w:pPr>
              <w:pStyle w:val="Compact"/>
              <w:jc w:val="left"/>
            </w:pPr>
            <w:r>
              <w:t xml:space="preserve">Referring Physician</w:t>
            </w:r>
          </w:p>
        </w:tc>
        <w:tc>
          <w:tcPr/>
          <w:p>
            <w:pPr>
              <w:pStyle w:val="Compact"/>
              <w:jc w:val="left"/>
            </w:pPr>
            <w:r>
              <w:t xml:space="preserve">Dr. Sophie Lemaire, General Practitioner, Clinique Sainte-Marguerite, Marseille</w:t>
            </w:r>
          </w:p>
        </w:tc>
      </w:tr>
      <w:tr>
        <w:tc>
          <w:tcPr/>
          <w:p>
            <w:pPr>
              <w:pStyle w:val="Compact"/>
              <w:jc w:val="left"/>
            </w:pPr>
            <w:r>
              <w:t xml:space="preserve">Quotation Validity</w:t>
            </w:r>
          </w:p>
        </w:tc>
        <w:tc>
          <w:tcPr/>
          <w:p>
            <w:pPr>
              <w:pStyle w:val="Compact"/>
              <w:jc w:val="left"/>
            </w:pPr>
            <w:r>
              <w:t xml:space="preserve">30 days from date of issue (expires 17 July 2025)</w:t>
            </w:r>
          </w:p>
        </w:tc>
      </w:tr>
      <w:tr>
        <w:tc>
          <w:tcPr/>
          <w:p>
            <w:pPr>
              <w:pStyle w:val="Compact"/>
              <w:jc w:val="left"/>
            </w:pPr>
            <w:r>
              <w:t xml:space="preserve">Currency</w:t>
            </w:r>
          </w:p>
        </w:tc>
        <w:tc>
          <w:tcPr/>
          <w:p>
            <w:pPr>
              <w:pStyle w:val="Compact"/>
              <w:jc w:val="left"/>
            </w:pPr>
            <w:r>
              <w:t xml:space="preserve">Euro (EUR) — All prices exclude applicable TVA (20%) unless otherwise noted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the above-named psychiatric practice in</w:t>
      </w:r>
      <w:r>
        <w:t xml:space="preserve"> </w:t>
      </w:r>
      <w:r>
        <w:t xml:space="preserve">France Marseille</w:t>
      </w:r>
      <w:r>
        <w:t xml:space="preserve"> </w:t>
      </w:r>
      <w:r>
        <w:t xml:space="preserve">to provide Mr. Jean-Luc Ferrand with a comprehensive, itemised breakdown of the anticipated costs associated with a structured course of psychiatric care. The</w:t>
      </w:r>
      <w:r>
        <w:t xml:space="preserve"> </w:t>
      </w:r>
      <w:r>
        <w:t xml:space="preserve">Psychiatrist</w:t>
      </w:r>
      <w:r>
        <w:t xml:space="preserve">, Dr. Élodie Marchand, has assessed the patient's clinical needs following a referral from his general practitioner and has outlined the recommended treatment plan below. This document serves as a formal cost projection and does not constitute a binding invoice; final billing will reflect actual services rendered.</w:t>
      </w:r>
    </w:p>
    <w:bookmarkEnd w:id="21"/>
    <w:bookmarkStart w:id="22" w:name="Xf43c27b2e95cca4d4c2b621a256e2d2aff77ded"/>
    <w:p>
      <w:pPr>
        <w:pStyle w:val="Heading2"/>
      </w:pPr>
      <w:r>
        <w:t xml:space="preserve">2. Recommended Treatment Plan &amp; Itemised Services</w:t>
      </w:r>
    </w:p>
    <w:p>
      <w:pPr>
        <w:pStyle w:val="FirstParagraph"/>
      </w:pPr>
      <w:r>
        <w:t xml:space="preserve">The following</w:t>
      </w:r>
      <w:r>
        <w:t xml:space="preserve"> </w:t>
      </w:r>
      <w:r>
        <w:t xml:space="preserve">Quotation Estimate</w:t>
      </w:r>
      <w:r>
        <w:t xml:space="preserve"> </w:t>
      </w:r>
      <w:r>
        <w:t xml:space="preserve">covers a twelve-week initial treatment programme. All consultations take place at the practice in central Marseille or, where indicated, via secure telemedicine in compliance with French health data regulations (RGPD / CNIL).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comprehensive psychiatric assessment (history, mental status examination, risk evaluation, diagnostic formulation)</w:t>
            </w:r>
          </w:p>
        </w:tc>
        <w:tc>
          <w:tcPr/>
          <w:p>
            <w:pPr>
              <w:pStyle w:val="Compact"/>
              <w:jc w:val="left"/>
            </w:pPr>
            <w:r>
              <w:t xml:space="preserve">1 session</w:t>
            </w:r>
          </w:p>
        </w:tc>
        <w:tc>
          <w:tcPr/>
          <w:p>
            <w:pPr>
              <w:pStyle w:val="Compact"/>
              <w:jc w:val="left"/>
            </w:pPr>
            <w:r>
              <w:t xml:space="preserve">90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Follow-up psychiatric consultation (progress review, medication adjustment, therapeutic planning)</w:t>
            </w:r>
          </w:p>
        </w:tc>
        <w:tc>
          <w:tcPr/>
          <w:p>
            <w:pPr>
              <w:pStyle w:val="Compact"/>
              <w:jc w:val="left"/>
            </w:pPr>
            <w:r>
              <w:t xml:space="preserve">Weekly (12 sessions)</w:t>
            </w:r>
          </w:p>
        </w:tc>
        <w:tc>
          <w:tcPr/>
          <w:p>
            <w:pPr>
              <w:pStyle w:val="Compact"/>
              <w:jc w:val="left"/>
            </w:pPr>
            <w:r>
              <w:t xml:space="preserve">45 min</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Psychopharmacological management &amp; prescription renewal (including coordination with the patient's pharmacist in Marseille)</w:t>
            </w:r>
          </w:p>
        </w:tc>
        <w:tc>
          <w:tcPr/>
          <w:p>
            <w:pPr>
              <w:pStyle w:val="Compact"/>
              <w:jc w:val="left"/>
            </w:pPr>
            <w:r>
              <w:t xml:space="preserve">Bi-weekly (6 sessions)</w:t>
            </w:r>
          </w:p>
        </w:tc>
        <w:tc>
          <w:tcPr/>
          <w:p>
            <w:pPr>
              <w:pStyle w:val="Compact"/>
              <w:jc w:val="left"/>
            </w:pPr>
            <w:r>
              <w:t xml:space="preserve">30 min</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Cognitive-Behavioural Therapy (CBT) sessions delivered by the Psychiatrist or a supervised clinical psychologist</w:t>
            </w:r>
          </w:p>
        </w:tc>
        <w:tc>
          <w:tcPr/>
          <w:p>
            <w:pPr>
              <w:pStyle w:val="Compact"/>
              <w:jc w:val="left"/>
            </w:pPr>
            <w:r>
              <w:t xml:space="preserve">Bi-weekly (6 sessions)</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5</w:t>
            </w:r>
          </w:p>
        </w:tc>
        <w:tc>
          <w:tcPr/>
          <w:p>
            <w:pPr>
              <w:pStyle w:val="Compact"/>
              <w:jc w:val="left"/>
            </w:pPr>
            <w:r>
              <w:t xml:space="preserve">Psychological testing &amp; neuropsychological battery (anxiety, depression, cognitive screening)</w:t>
            </w:r>
          </w:p>
        </w:tc>
        <w:tc>
          <w:tcPr/>
          <w:p>
            <w:pPr>
              <w:pStyle w:val="Compact"/>
              <w:jc w:val="left"/>
            </w:pPr>
            <w:r>
              <w:t xml:space="preserve">1 session</w:t>
            </w:r>
          </w:p>
        </w:tc>
        <w:tc>
          <w:tcPr/>
          <w:p>
            <w:pPr>
              <w:pStyle w:val="Compact"/>
              <w:jc w:val="left"/>
            </w:pPr>
            <w:r>
              <w:t xml:space="preserve">120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Telemedicine follow-up consultation (video call, for patients unable to attend in person)</w:t>
            </w:r>
          </w:p>
        </w:tc>
        <w:tc>
          <w:tcPr/>
          <w:p>
            <w:pPr>
              <w:pStyle w:val="Compact"/>
              <w:jc w:val="left"/>
            </w:pPr>
            <w:r>
              <w:t xml:space="preserve">2 sessions</w:t>
            </w:r>
          </w:p>
        </w:tc>
        <w:tc>
          <w:tcPr/>
          <w:p>
            <w:pPr>
              <w:pStyle w:val="Compact"/>
              <w:jc w:val="left"/>
            </w:pPr>
            <w:r>
              <w:t xml:space="preserve">30 min</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7</w:t>
            </w:r>
          </w:p>
        </w:tc>
        <w:tc>
          <w:tcPr/>
          <w:p>
            <w:pPr>
              <w:pStyle w:val="Compact"/>
              <w:jc w:val="left"/>
            </w:pPr>
            <w:r>
              <w:t xml:space="preserve">Written medical report &amp; discharge summary (for the referring GP and, with patient consent, employer's occupational health service)</w:t>
            </w:r>
          </w:p>
        </w:tc>
        <w:tc>
          <w:tcPr/>
          <w:p>
            <w:pPr>
              <w:pStyle w:val="Compact"/>
              <w:jc w:val="left"/>
            </w:pPr>
            <w:r>
              <w:t xml:space="preserve">1 document</w:t>
            </w:r>
          </w:p>
        </w:tc>
        <w:tc>
          <w:tcPr/>
          <w:p>
            <w:pPr>
              <w:pStyle w:val="Compact"/>
              <w:jc w:val="left"/>
            </w:pPr>
            <w:r>
              <w:t xml:space="preserv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8</w:t>
            </w:r>
          </w:p>
        </w:tc>
        <w:tc>
          <w:tcPr/>
          <w:p>
            <w:pPr>
              <w:pStyle w:val="Compact"/>
              <w:jc w:val="left"/>
            </w:pPr>
            <w:r>
              <w:t xml:space="preserve">Urgent same-day psychiatric consultation (cancellation or crisis appointment, subject to availability)</w:t>
            </w:r>
          </w:p>
        </w:tc>
        <w:tc>
          <w:tcPr/>
          <w:p>
            <w:pPr>
              <w:pStyle w:val="Compact"/>
              <w:jc w:val="left"/>
            </w:pPr>
            <w:r>
              <w:t xml:space="preserve">1 session (reserved)</w:t>
            </w:r>
          </w:p>
        </w:tc>
        <w:tc>
          <w:tcPr/>
          <w:p>
            <w:pPr>
              <w:pStyle w:val="Compact"/>
              <w:jc w:val="left"/>
            </w:pPr>
            <w:r>
              <w:t xml:space="preserve">45 min</w:t>
            </w:r>
          </w:p>
        </w:tc>
        <w:tc>
          <w:tcPr/>
          <w:p>
            <w:pPr>
              <w:pStyle w:val="Compact"/>
              <w:jc w:val="left"/>
            </w:pPr>
            <w:r>
              <w:t xml:space="preserve">140.00</w:t>
            </w:r>
          </w:p>
        </w:tc>
        <w:tc>
          <w:tcPr/>
          <w:p>
            <w:pPr>
              <w:pStyle w:val="Compact"/>
              <w:jc w:val="left"/>
            </w:pPr>
            <w:r>
              <w:t xml:space="preserve">140.00</w:t>
            </w:r>
          </w:p>
        </w:tc>
      </w:tr>
      <w:tr>
        <w:tc>
          <w:tcPr>
            <w:gridSpan w:val="5"/>
          </w:tcPr>
          <w:p>
            <w:pPr>
              <w:pStyle w:val="Compact"/>
              <w:jc w:val="right"/>
            </w:pPr>
            <w:r>
              <w:t xml:space="preserve">Subtotal (excl. TVA)</w:t>
            </w:r>
          </w:p>
        </w:tc>
        <w:tc>
          <w:tcPr/>
          <w:p>
            <w:pPr>
              <w:pStyle w:val="Compact"/>
              <w:jc w:val="left"/>
            </w:pPr>
            <w:r>
              <w:t xml:space="preserve">3,100.00</w:t>
            </w:r>
          </w:p>
        </w:tc>
      </w:tr>
      <w:tr>
        <w:tc>
          <w:tcPr>
            <w:gridSpan w:val="5"/>
          </w:tcPr>
          <w:p>
            <w:pPr>
              <w:pStyle w:val="Compact"/>
              <w:jc w:val="right"/>
            </w:pPr>
            <w:r>
              <w:t xml:space="preserve">TVA 20%</w:t>
            </w:r>
          </w:p>
        </w:tc>
        <w:tc>
          <w:tcPr/>
          <w:p>
            <w:pPr>
              <w:pStyle w:val="Compact"/>
              <w:jc w:val="left"/>
            </w:pPr>
            <w:r>
              <w:t xml:space="preserve">620.00</w:t>
            </w:r>
          </w:p>
        </w:tc>
      </w:tr>
      <w:tr>
        <w:tc>
          <w:tcPr>
            <w:gridSpan w:val="5"/>
          </w:tcPr>
          <w:p>
            <w:pPr>
              <w:pStyle w:val="Compact"/>
              <w:jc w:val="right"/>
            </w:pPr>
            <w:r>
              <w:t xml:space="preserve">TOTAL ESTIMATED COST (incl. TVA)</w:t>
            </w:r>
          </w:p>
        </w:tc>
        <w:tc>
          <w:tcPr/>
          <w:p>
            <w:pPr>
              <w:pStyle w:val="Compact"/>
              <w:jc w:val="left"/>
            </w:pPr>
            <w:r>
              <w:t xml:space="preserve">3,720.00</w:t>
            </w:r>
          </w:p>
        </w:tc>
      </w:tr>
    </w:tbl>
    <w:bookmarkEnd w:id="22"/>
    <w:bookmarkStart w:id="23" w:name="X29499659029ffc18865888d3618df7849096741"/>
    <w:p>
      <w:pPr>
        <w:pStyle w:val="Heading2"/>
      </w:pPr>
      <w:r>
        <w:t xml:space="preserve">3. Insurance &amp; Reimbursement Notes (France Marseille Context)</w:t>
      </w:r>
    </w:p>
    <w:p>
      <w:pPr>
        <w:pStyle w:val="FirstParagraph"/>
      </w:pPr>
      <w:r>
        <w:t xml:space="preserve">Please note that in</w:t>
      </w:r>
      <w:r>
        <w:t xml:space="preserve"> </w:t>
      </w:r>
      <w:r>
        <w:t xml:space="preserve">France Marseille</w:t>
      </w:r>
      <w:r>
        <w:t xml:space="preserve">, as throughout metropolitan France, a portion of psychiatric consultation fees may be reimbursed through the</w:t>
      </w:r>
      <w:r>
        <w:t xml:space="preserve"> </w:t>
      </w:r>
      <w:r>
        <w:rPr>
          <w:iCs/>
          <w:i/>
        </w:rPr>
        <w:t xml:space="preserve">Sécurité Sociale</w:t>
      </w:r>
      <w:r>
        <w:t xml:space="preserve"> </w:t>
      </w:r>
      <w:r>
        <w:t xml:space="preserve">(French national health insurance) and complementary private insurance (</w:t>
      </w:r>
      <w:r>
        <w:rPr>
          <w:iCs/>
          <w:i/>
        </w:rPr>
        <w:t xml:space="preserve">mutuelle</w:t>
      </w:r>
      <w:r>
        <w:t xml:space="preserve">). The</w:t>
      </w:r>
      <w:r>
        <w:t xml:space="preserve"> </w:t>
      </w:r>
      <w:r>
        <w:t xml:space="preserve">Psychiatrist</w:t>
      </w:r>
      <w:r>
        <w:t xml:space="preserve"> </w:t>
      </w:r>
      <w:r>
        <w:t xml:space="preserve">at this practice is registered under the</w:t>
      </w:r>
      <w:r>
        <w:t xml:space="preserve"> </w:t>
      </w:r>
      <w:r>
        <w:rPr>
          <w:iCs/>
          <w:i/>
        </w:rPr>
        <w:t xml:space="preserve">Convention Nationale</w:t>
      </w:r>
      <w:r>
        <w:t xml:space="preserve"> </w:t>
      </w:r>
      <w:r>
        <w:t xml:space="preserve">and accepts the</w:t>
      </w:r>
      <w:r>
        <w:t xml:space="preserve"> </w:t>
      </w:r>
      <w:r>
        <w:rPr>
          <w:iCs/>
          <w:i/>
        </w:rPr>
        <w:t xml:space="preserve">Tiers Payant</w:t>
      </w:r>
      <w:r>
        <w:t xml:space="preserve"> </w:t>
      </w:r>
      <w:r>
        <w:t xml:space="preserve">(third-party payment) system, meaning the patient will only be responsible for the co-payment (</w:t>
      </w:r>
      <w:r>
        <w:rPr>
          <w:iCs/>
          <w:i/>
        </w:rPr>
        <w:t xml:space="preserve">ticket modérateur</w:t>
      </w:r>
      <w:r>
        <w:t xml:space="preserve">) at the point of service. The amounts listed in this</w:t>
      </w:r>
      <w:r>
        <w:t xml:space="preserve"> </w:t>
      </w:r>
      <w:r>
        <w:t xml:space="preserve">Quotation Estimate</w:t>
      </w:r>
      <w:r>
        <w:t xml:space="preserve"> </w:t>
      </w:r>
      <w:r>
        <w:t xml:space="preserve">represent the full fee schedule; the actual out-of-pocket expense for the patient will be lower depending on the level of coverage held with the patient's</w:t>
      </w:r>
      <w:r>
        <w:t xml:space="preserve"> </w:t>
      </w:r>
      <w:r>
        <w:rPr>
          <w:iCs/>
          <w:i/>
        </w:rPr>
        <w:t xml:space="preserve">mutuelle</w:t>
      </w:r>
      <w:r>
        <w:t xml:space="preserve"> </w:t>
      </w:r>
      <w:r>
        <w:t xml:space="preserve">provider. A detailed reimbursement breakdown can be provided upon request.</w:t>
      </w:r>
    </w:p>
    <w:bookmarkEnd w:id="23"/>
    <w:bookmarkStart w:id="24" w:name="terms-conditions"/>
    <w:p>
      <w:pPr>
        <w:pStyle w:val="Heading2"/>
      </w:pPr>
      <w:r>
        <w:t xml:space="preserve">4. Terms &amp;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fees may be subject to revision in accordance with the current fee schedule of the Ordre des Médecins in the Bouches-du-Rhône department.</w:t>
      </w:r>
    </w:p>
    <w:p>
      <w:pPr>
        <w:numPr>
          <w:ilvl w:val="0"/>
          <w:numId w:val="1001"/>
        </w:numPr>
        <w:pStyle w:val="Compact"/>
      </w:pPr>
      <w:r>
        <w:rPr>
          <w:bCs/>
          <w:b/>
        </w:rPr>
        <w:t xml:space="preserve">Payment Schedule:</w:t>
      </w:r>
      <w:r>
        <w:t xml:space="preserve"> </w:t>
      </w:r>
      <w:r>
        <w:t xml:space="preserve">Payment is due within fifteen (15) days of each consultation or service delivery. For the full twelve-week programme, the patient may opt for a single lump-sum payment with a 5% administrative discount, reducing the total to €3,534.00 (incl. TVA).</w:t>
      </w:r>
    </w:p>
    <w:p>
      <w:pPr>
        <w:numPr>
          <w:ilvl w:val="0"/>
          <w:numId w:val="1001"/>
        </w:numPr>
        <w:pStyle w:val="Compact"/>
      </w:pPr>
      <w:r>
        <w:rPr>
          <w:bCs/>
          <w:b/>
        </w:rPr>
        <w:t xml:space="preserve">Cancellation Policy:</w:t>
      </w:r>
      <w:r>
        <w:t xml:space="preserve"> </w:t>
      </w:r>
      <w:r>
        <w:t xml:space="preserve">Appointments cancelled with less than 48 hours' notice will be charged at 50% of the session fee. No-shows are charged in full. This policy applies to all in-person and telemedicine sessions.</w:t>
      </w:r>
    </w:p>
    <w:p>
      <w:pPr>
        <w:numPr>
          <w:ilvl w:val="0"/>
          <w:numId w:val="1001"/>
        </w:numPr>
        <w:pStyle w:val="Compact"/>
      </w:pPr>
      <w:r>
        <w:rPr>
          <w:bCs/>
          <w:b/>
        </w:rPr>
        <w:t xml:space="preserve">Confidentiality:</w:t>
      </w:r>
      <w:r>
        <w:t xml:space="preserve"> </w:t>
      </w:r>
      <w:r>
        <w:t xml:space="preserve">All clinical information is handled in strict accordance with French medical confidentiality law (Code de la Santé Publique, Art. L.1110-4) and the EU General Data Protection Regulation (GDPR). This</w:t>
      </w:r>
      <w:r>
        <w:t xml:space="preserve"> </w:t>
      </w:r>
      <w:r>
        <w:t xml:space="preserve">Quotation Estimate</w:t>
      </w:r>
      <w:r>
        <w:t xml:space="preserve"> </w:t>
      </w:r>
      <w:r>
        <w:t xml:space="preserve">contains no clinical diagnosis or treatment details.</w:t>
      </w:r>
    </w:p>
    <w:p>
      <w:pPr>
        <w:numPr>
          <w:ilvl w:val="0"/>
          <w:numId w:val="1001"/>
        </w:numPr>
        <w:pStyle w:val="Compact"/>
      </w:pPr>
      <w:r>
        <w:rPr>
          <w:bCs/>
          <w:b/>
        </w:rPr>
        <w:t xml:space="preserve">Scope:</w:t>
      </w:r>
      <w:r>
        <w:t xml:space="preserve"> </w:t>
      </w:r>
      <w:r>
        <w:t xml:space="preserve">This estimate covers outpatient psychiatric care only. It does not include inpatient hospitalisation, emergency department visits, laboratory tests ordered externally, or specialist referrals (e.g., neurologist, endocrinologist) that may be recommended during the course of treatment.</w:t>
      </w:r>
    </w:p>
    <w:p>
      <w:pPr>
        <w:numPr>
          <w:ilvl w:val="0"/>
          <w:numId w:val="1001"/>
        </w:numPr>
        <w:pStyle w:val="Compact"/>
      </w:pPr>
      <w:r>
        <w:rPr>
          <w:bCs/>
          <w:b/>
        </w:rPr>
        <w:t xml:space="preserve">Acceptance:</w:t>
      </w:r>
      <w:r>
        <w:t xml:space="preserve"> </w:t>
      </w:r>
      <w:r>
        <w:t xml:space="preserve">By signing below, the patient acknowledges receipt of this</w:t>
      </w:r>
      <w:r>
        <w:t xml:space="preserve"> </w:t>
      </w:r>
      <w:r>
        <w:t xml:space="preserve">Quotation Estimate</w:t>
      </w:r>
      <w:r>
        <w:t xml:space="preserve"> </w:t>
      </w:r>
      <w:r>
        <w:t xml:space="preserve">and agrees to the terms outlined. Acceptance does not obligate the patient to complete the full twelve-week programme; services may be discontinued at any time with written notice.</w:t>
      </w:r>
    </w:p>
    <w:bookmarkEnd w:id="24"/>
    <w:bookmarkStart w:id="25" w:name="acceptance-signatures"/>
    <w:p>
      <w:pPr>
        <w:pStyle w:val="Heading2"/>
      </w:pPr>
      <w:r>
        <w:t xml:space="preserve">5. Acceptance &amp; Signatures</w:t>
      </w:r>
    </w:p>
    <w:p>
      <w:pPr>
        <w:pStyle w:val="FirstParagraph"/>
      </w:pPr>
      <w:r>
        <w:rPr>
          <w:bCs/>
          <w:b/>
        </w:rPr>
        <w:t xml:space="preserve">For the Provider (Psychiatrist)</w:t>
      </w:r>
      <w:r>
        <w:br/>
      </w:r>
      <w:r>
        <w:t xml:space="preserve">Dr. Élodie Marchand, MD</w:t>
      </w:r>
      <w:r>
        <w:br/>
      </w:r>
      <w:r>
        <w:t xml:space="preserve">Cabinet de Psychiatrie du Vieux-Port</w:t>
      </w:r>
      <w:r>
        <w:br/>
      </w:r>
      <w:r>
        <w:t xml:space="preserve">Marseille, France</w:t>
      </w:r>
      <w:r>
        <w:br/>
      </w:r>
      <w:r>
        <w:br/>
      </w:r>
      <w:r>
        <w:t xml:space="preserve">Date: _______________    Signature: _______________</w:t>
      </w:r>
    </w:p>
    <w:p>
      <w:pPr>
        <w:pStyle w:val="BodyText"/>
      </w:pPr>
      <w:r>
        <w:rPr>
          <w:bCs/>
          <w:b/>
        </w:rPr>
        <w:t xml:space="preserve">For the Patient / Client</w:t>
      </w:r>
      <w:r>
        <w:br/>
      </w:r>
      <w:r>
        <w:t xml:space="preserve">Mr. Jean-Luc Ferrand</w:t>
      </w:r>
      <w:r>
        <w:br/>
      </w:r>
      <w:r>
        <w:t xml:space="preserve">18 Chemin des Oliviers, 13008 Marseille</w:t>
      </w:r>
      <w:r>
        <w:br/>
      </w:r>
      <w:r>
        <w:br/>
      </w:r>
      <w:r>
        <w:t xml:space="preserve">Date: _______________    Signature: _______________</w:t>
      </w:r>
    </w:p>
    <w:p>
      <w:pPr>
        <w:pStyle w:val="BodyText"/>
      </w:pPr>
      <w:r>
        <w:t xml:space="preserve">This Quotation Estimate was generated for the psychiatric practice located in France Marseille. It is a cost projection document and does not constitute a medical prescription, a binding contract, or a tax invoice. For questions regarding this estimate, please contact the practice at +33 (0)4 91 XX XX XX or by email at contact@psychiatrie-vieuxport.fr. — Document QTE-PSY-2025-0417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France Marseille</dc:title>
  <dc:creator/>
  <dc:language>en</dc:language>
  <cp:keywords/>
  <dcterms:created xsi:type="dcterms:W3CDTF">2026-10-10T09:04:09Z</dcterms:created>
  <dcterms:modified xsi:type="dcterms:W3CDTF">2026-10-10T09:04:09Z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