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quotation-estimate"/>
    <w:p>
      <w:pPr>
        <w:pStyle w:val="Heading1"/>
      </w:pPr>
      <w:r>
        <w:t xml:space="preserve">QUOTATION ESTIMATE</w:t>
      </w:r>
    </w:p>
    <w:bookmarkStart w:id="20" w:name="professional-psychiatrist-services"/>
    <w:p>
      <w:pPr>
        <w:pStyle w:val="Heading2"/>
      </w:pPr>
      <w:r>
        <w:t xml:space="preserve">Professional Psychiatrist Services</w:t>
      </w:r>
    </w:p>
    <w:p>
      <w:pPr>
        <w:pStyle w:val="FirstParagraph"/>
      </w:pPr>
      <w:r>
        <w:rPr>
          <w:bCs/>
          <w:b/>
        </w:rPr>
        <w:t xml:space="preserve">KL MindCare Psychiatry Centre</w:t>
      </w:r>
      <w:r>
        <w:br/>
      </w:r>
      <w:r>
        <w:t xml:space="preserve">Level 12, Menara Sentral, Jalan Stesen Sentral 5,</w:t>
      </w:r>
      <w:r>
        <w:br/>
      </w:r>
      <w:r>
        <w:t xml:space="preserve">50470</w:t>
      </w:r>
      <w:r>
        <w:t xml:space="preserve"> </w:t>
      </w:r>
      <w:r>
        <w:t xml:space="preserve">Malaysia Kuala Lumpur</w:t>
      </w:r>
      <w:r>
        <w:br/>
      </w:r>
      <w:r>
        <w:t xml:space="preserve">Tel: +603-2181-4567 | Email: enquiries@klmindcare.my</w:t>
      </w:r>
      <w:r>
        <w:br/>
      </w:r>
      <w:r>
        <w:t xml:space="preserve">Registration No: KLP-PSY-2024-0087 | MCMC Licensed</w:t>
      </w:r>
    </w:p>
    <w:bookmarkEnd w:id="20"/>
    <w:bookmarkEnd w:id="21"/>
    <w:p>
      <w:pPr>
        <w:pStyle w:val="BodyText"/>
      </w:pPr>
      <w:r>
        <w:rPr>
          <w:bCs/>
          <w:b/>
        </w:rPr>
        <w:t xml:space="preserve">Quotation Estimate No:</w:t>
      </w:r>
      <w:r>
        <w:t xml:space="preserve"> </w:t>
      </w:r>
      <w:r>
        <w:t xml:space="preserve">QE-2025-KL-0342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 Organisation Name]</w:t>
      </w:r>
      <w:r>
        <w:br/>
      </w:r>
      <w:r>
        <w:rPr>
          <w:bCs/>
          <w:b/>
        </w:rPr>
        <w:t xml:space="preserve">Address:</w:t>
      </w:r>
      <w:r>
        <w:t xml:space="preserve"> </w:t>
      </w:r>
      <w:r>
        <w:t xml:space="preserve">[Client Address],</w:t>
      </w:r>
      <w:r>
        <w:t xml:space="preserve"> </w:t>
      </w:r>
      <w:r>
        <w:t xml:space="preserve">Malaysia Kuala Lumpur</w:t>
      </w:r>
      <w:r>
        <w:br/>
      </w:r>
      <w:r>
        <w:rPr>
          <w:bCs/>
          <w:b/>
        </w:rPr>
        <w:t xml:space="preserve">Contact:</w:t>
      </w:r>
      <w:r>
        <w:t xml:space="preserve"> </w:t>
      </w:r>
      <w:r>
        <w:t xml:space="preserve">[Phone / Email]</w:t>
      </w:r>
    </w:p>
    <w:p>
      <w:pPr>
        <w:pStyle w:val="BodyText"/>
      </w:pPr>
      <w:r>
        <w:t xml:space="preserve">1. SCOPE OF SERVICES – PSYCHIATRIST CONSULTATION &amp; TREATMENT</w:t>
      </w:r>
    </w:p>
    <w:p>
      <w:pPr>
        <w:pStyle w:val="BodyText"/>
      </w:pPr>
      <w:r>
        <w:t xml:space="preserve">This</w:t>
      </w:r>
      <w:r>
        <w:t xml:space="preserve"> </w:t>
      </w:r>
      <w:r>
        <w:t xml:space="preserve">Quotation Estimate</w:t>
      </w:r>
      <w:r>
        <w:t xml:space="preserve"> </w:t>
      </w:r>
      <w:r>
        <w:t xml:space="preserve">is issued by KL MindCare Psychiatry Centre, a registered and fully licensed psychiatric practice operating in</w:t>
      </w:r>
      <w:r>
        <w:t xml:space="preserve"> </w:t>
      </w:r>
      <w:r>
        <w:t xml:space="preserve">Malaysia Kuala Lumpur</w:t>
      </w:r>
      <w:r>
        <w:t xml:space="preserve">, to provide a comprehensive breakdown of professional</w:t>
      </w:r>
      <w:r>
        <w:t xml:space="preserve"> </w:t>
      </w:r>
      <w:r>
        <w:t xml:space="preserve">Psychiatrist</w:t>
      </w:r>
      <w:r>
        <w:t xml:space="preserve"> </w:t>
      </w:r>
      <w:r>
        <w:t xml:space="preserve">services for the client identified above. The services outlined below encompass initial assessment, ongoing therapeutic intervention, pharmacological management, and follow-up care as required by the treating</w:t>
      </w:r>
      <w:r>
        <w:t xml:space="preserve"> </w:t>
      </w:r>
      <w:r>
        <w:t xml:space="preserve">Psychiatrist</w:t>
      </w:r>
      <w:r>
        <w:t xml:space="preserve">. All clinical services are delivered in strict compliance with the Malaysian Medical Council (MMC) guidelines, the Mental Health Act 2001 (Act 618), and the Personal Data Protection Act 2010 (PDPA) applicable in</w:t>
      </w:r>
      <w:r>
        <w:t xml:space="preserve"> </w:t>
      </w:r>
      <w:r>
        <w:t xml:space="preserve">Malaysia Kuala Lumpur</w:t>
      </w:r>
      <w:r>
        <w:t xml:space="preserve">.</w:t>
      </w:r>
    </w:p>
    <w:p>
      <w:pPr>
        <w:pStyle w:val="BodyText"/>
      </w:pPr>
      <w:r>
        <w:t xml:space="preserve">2. DETAILED SERVICE BREAKDOWN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(MYR)</w:t>
            </w:r>
          </w:p>
        </w:tc>
        <w:tc>
          <w:tcPr/>
          <w:p>
            <w:pPr>
              <w:pStyle w:val="Compact"/>
              <w:jc w:val="left"/>
            </w:pPr>
            <w:r>
              <w:t xml:space="preserve">Quantity</w:t>
            </w:r>
          </w:p>
        </w:tc>
        <w:tc>
          <w:tcPr/>
          <w:p>
            <w:pPr>
              <w:pStyle w:val="Compact"/>
              <w:jc w:val="left"/>
            </w:pPr>
            <w:r>
              <w:t xml:space="preserve">Amount (MYR)</w:t>
            </w:r>
          </w:p>
        </w:tc>
      </w:tr>
      <w:tr>
        <w:tc>
          <w:tcPr/>
          <w:p>
            <w:pPr>
              <w:pStyle w:val="Compact"/>
              <w:jc w:val="left"/>
            </w:pPr>
            <w:r>
              <w:t xml:space="preserve">1</w:t>
            </w:r>
          </w:p>
        </w:tc>
        <w:tc>
          <w:tcPr/>
          <w:p>
            <w:pPr>
              <w:pStyle w:val="Compact"/>
              <w:jc w:val="left"/>
            </w:pPr>
            <w:r>
              <w:rPr>
                <w:bCs/>
                <w:b/>
              </w:rPr>
              <w:t xml:space="preserve">Initial Psychiatrist Consultation &amp; Comprehensive Psychiatric Assessment</w:t>
            </w:r>
            <w:r>
              <w:t xml:space="preserve"> </w:t>
            </w:r>
            <w:r>
              <w:t xml:space="preserve">– Includes full medical history review, mental status examination, cognitive screening, risk assessment, and formulation of a personalised treatment plan by a senior</w:t>
            </w:r>
            <w:r>
              <w:t xml:space="preserve"> </w:t>
            </w:r>
            <w:r>
              <w:t xml:space="preserve">Psychiatrist</w:t>
            </w:r>
            <w:r>
              <w:t xml:space="preserve">.</w:t>
            </w:r>
          </w:p>
        </w:tc>
        <w:tc>
          <w:tcPr/>
          <w:p>
            <w:pPr>
              <w:pStyle w:val="Compact"/>
              <w:jc w:val="left"/>
            </w:pPr>
            <w:r>
              <w:t xml:space="preserve">One-time session (90 minutes)</w:t>
            </w:r>
          </w:p>
        </w:tc>
        <w:tc>
          <w:tcPr/>
          <w:p>
            <w:pPr>
              <w:pStyle w:val="Compact"/>
              <w:jc w:val="left"/>
            </w:pPr>
            <w:r>
              <w:t xml:space="preserve">RM 850.00</w:t>
            </w:r>
          </w:p>
        </w:tc>
        <w:tc>
          <w:tcPr/>
          <w:p>
            <w:pPr>
              <w:pStyle w:val="Compact"/>
              <w:jc w:val="left"/>
            </w:pPr>
            <w:r>
              <w:t xml:space="preserve">1</w:t>
            </w:r>
          </w:p>
        </w:tc>
        <w:tc>
          <w:tcPr/>
          <w:p>
            <w:pPr>
              <w:pStyle w:val="Compact"/>
              <w:jc w:val="left"/>
            </w:pPr>
            <w:r>
              <w:t xml:space="preserve">RM 850.00</w:t>
            </w:r>
          </w:p>
        </w:tc>
      </w:tr>
      <w:tr>
        <w:tc>
          <w:tcPr/>
          <w:p>
            <w:pPr>
              <w:pStyle w:val="Compact"/>
              <w:jc w:val="left"/>
            </w:pPr>
            <w:r>
              <w:t xml:space="preserve">2</w:t>
            </w:r>
          </w:p>
        </w:tc>
        <w:tc>
          <w:tcPr/>
          <w:p>
            <w:pPr>
              <w:pStyle w:val="Compact"/>
              <w:jc w:val="left"/>
            </w:pPr>
            <w:r>
              <w:rPr>
                <w:bCs/>
                <w:b/>
              </w:rPr>
              <w:t xml:space="preserve">Follow-Up Psychiatrist Consultation</w:t>
            </w:r>
            <w:r>
              <w:t xml:space="preserve"> </w:t>
            </w:r>
            <w:r>
              <w:t xml:space="preserve">– Ongoing review of treatment progress, medication adjustment, symptom monitoring, and therapeutic strategy modification conducted by the assigned</w:t>
            </w:r>
            <w:r>
              <w:t xml:space="preserve"> </w:t>
            </w:r>
            <w:r>
              <w:t xml:space="preserve">Psychiatrist</w:t>
            </w:r>
            <w:r>
              <w:t xml:space="preserve">.</w:t>
            </w:r>
          </w:p>
        </w:tc>
        <w:tc>
          <w:tcPr/>
          <w:p>
            <w:pPr>
              <w:pStyle w:val="Compact"/>
              <w:jc w:val="left"/>
            </w:pPr>
            <w:r>
              <w:t xml:space="preserve">Monthly (45 minutes)</w:t>
            </w:r>
          </w:p>
        </w:tc>
        <w:tc>
          <w:tcPr/>
          <w:p>
            <w:pPr>
              <w:pStyle w:val="Compact"/>
              <w:jc w:val="left"/>
            </w:pPr>
            <w:r>
              <w:t xml:space="preserve">RM 550.00</w:t>
            </w:r>
          </w:p>
        </w:tc>
        <w:tc>
          <w:tcPr/>
          <w:p>
            <w:pPr>
              <w:pStyle w:val="Compact"/>
              <w:jc w:val="left"/>
            </w:pPr>
            <w:r>
              <w:t xml:space="preserve">6</w:t>
            </w:r>
          </w:p>
        </w:tc>
        <w:tc>
          <w:tcPr/>
          <w:p>
            <w:pPr>
              <w:pStyle w:val="Compact"/>
              <w:jc w:val="left"/>
            </w:pPr>
            <w:r>
              <w:t xml:space="preserve">RM 3,300.00</w:t>
            </w:r>
          </w:p>
        </w:tc>
      </w:tr>
      <w:tr>
        <w:tc>
          <w:tcPr/>
          <w:p>
            <w:pPr>
              <w:pStyle w:val="Compact"/>
              <w:jc w:val="left"/>
            </w:pPr>
            <w:r>
              <w:t xml:space="preserve">3</w:t>
            </w:r>
          </w:p>
        </w:tc>
        <w:tc>
          <w:tcPr/>
          <w:p>
            <w:pPr>
              <w:pStyle w:val="Compact"/>
              <w:jc w:val="left"/>
            </w:pPr>
            <w:r>
              <w:rPr>
                <w:bCs/>
                <w:b/>
              </w:rPr>
              <w:t xml:space="preserve">Psychopharmacological Management &amp; Prescription Renewal</w:t>
            </w:r>
            <w:r>
              <w:t xml:space="preserve"> </w:t>
            </w:r>
            <w:r>
              <w:t xml:space="preserve">– Includes medication review, dosage titration, side-effect monitoring, and issuance of prescriptions in accordance with Malaysian pharmaceutical regulations.</w:t>
            </w:r>
          </w:p>
        </w:tc>
        <w:tc>
          <w:tcPr/>
          <w:p>
            <w:pPr>
              <w:pStyle w:val="Compact"/>
              <w:jc w:val="left"/>
            </w:pPr>
            <w:r>
              <w:t xml:space="preserve">Per visit (included in consultation)</w:t>
            </w:r>
          </w:p>
        </w:tc>
        <w:tc>
          <w:tcPr/>
          <w:p>
            <w:pPr>
              <w:pStyle w:val="Compact"/>
              <w:jc w:val="left"/>
            </w:pPr>
            <w:r>
              <w:t xml:space="preserve">RM 0.00</w:t>
            </w:r>
          </w:p>
        </w:tc>
        <w:tc>
          <w:tcPr/>
          <w:p>
            <w:pPr>
              <w:pStyle w:val="Compact"/>
              <w:jc w:val="left"/>
            </w:pPr>
            <w:r>
              <w:t xml:space="preserve">6</w:t>
            </w:r>
          </w:p>
        </w:tc>
        <w:tc>
          <w:tcPr/>
          <w:p>
            <w:pPr>
              <w:pStyle w:val="Compact"/>
              <w:jc w:val="left"/>
            </w:pPr>
            <w:r>
              <w:t xml:space="preserve">RM 0.00</w:t>
            </w:r>
          </w:p>
        </w:tc>
      </w:tr>
      <w:tr>
        <w:tc>
          <w:tcPr/>
          <w:p>
            <w:pPr>
              <w:pStyle w:val="Compact"/>
              <w:jc w:val="left"/>
            </w:pPr>
            <w:r>
              <w:t xml:space="preserve">4</w:t>
            </w:r>
          </w:p>
        </w:tc>
        <w:tc>
          <w:tcPr/>
          <w:p>
            <w:pPr>
              <w:pStyle w:val="Compact"/>
              <w:jc w:val="left"/>
            </w:pPr>
            <w:r>
              <w:rPr>
                <w:bCs/>
                <w:b/>
              </w:rPr>
              <w:t xml:space="preserve">Psychological Testing &amp; Neuropsychological Evaluation</w:t>
            </w:r>
            <w:r>
              <w:t xml:space="preserve"> </w:t>
            </w:r>
            <w:r>
              <w:t xml:space="preserve">– Administration and interpretation of standardised psychological instruments (e.g., MMSE, PHQ-9, GAD-7, BDI-II) to support the</w:t>
            </w:r>
            <w:r>
              <w:t xml:space="preserve"> </w:t>
            </w:r>
            <w:r>
              <w:t xml:space="preserve">Psychiatrist</w:t>
            </w:r>
            <w:r>
              <w:t xml:space="preserve">'s diagnostic and treatment decisions.</w:t>
            </w:r>
          </w:p>
        </w:tc>
        <w:tc>
          <w:tcPr/>
          <w:p>
            <w:pPr>
              <w:pStyle w:val="Compact"/>
              <w:jc w:val="left"/>
            </w:pPr>
            <w:r>
              <w:t xml:space="preserve">One-time (120 minutes)</w:t>
            </w:r>
          </w:p>
        </w:tc>
        <w:tc>
          <w:tcPr/>
          <w:p>
            <w:pPr>
              <w:pStyle w:val="Compact"/>
              <w:jc w:val="left"/>
            </w:pPr>
            <w:r>
              <w:t xml:space="preserve">RM 1,200.00</w:t>
            </w:r>
          </w:p>
        </w:tc>
        <w:tc>
          <w:tcPr/>
          <w:p>
            <w:pPr>
              <w:pStyle w:val="Compact"/>
              <w:jc w:val="left"/>
            </w:pPr>
            <w:r>
              <w:t xml:space="preserve">1</w:t>
            </w:r>
          </w:p>
        </w:tc>
        <w:tc>
          <w:tcPr/>
          <w:p>
            <w:pPr>
              <w:pStyle w:val="Compact"/>
              <w:jc w:val="left"/>
            </w:pPr>
            <w:r>
              <w:t xml:space="preserve">RM 1,200.00</w:t>
            </w:r>
          </w:p>
        </w:tc>
      </w:tr>
      <w:tr>
        <w:tc>
          <w:tcPr/>
          <w:p>
            <w:pPr>
              <w:pStyle w:val="Compact"/>
              <w:jc w:val="left"/>
            </w:pPr>
            <w:r>
              <w:t xml:space="preserve">5</w:t>
            </w:r>
          </w:p>
        </w:tc>
        <w:tc>
          <w:tcPr/>
          <w:p>
            <w:pPr>
              <w:pStyle w:val="Compact"/>
              <w:jc w:val="left"/>
            </w:pPr>
            <w:r>
              <w:rPr>
                <w:bCs/>
                <w:b/>
              </w:rPr>
              <w:t xml:space="preserve">Family / Caregiver Psychoeducation Session</w:t>
            </w:r>
            <w:r>
              <w:t xml:space="preserve"> </w:t>
            </w:r>
            <w:r>
              <w:t xml:space="preserve">– Guided session led by the</w:t>
            </w:r>
            <w:r>
              <w:t xml:space="preserve"> </w:t>
            </w:r>
            <w:r>
              <w:t xml:space="preserve">Psychiatrist</w:t>
            </w:r>
            <w:r>
              <w:t xml:space="preserve"> </w:t>
            </w:r>
            <w:r>
              <w:t xml:space="preserve">to educate family members or designated caregivers on the patient's condition, medication adherence, and crisis management strategies.</w:t>
            </w:r>
          </w:p>
        </w:tc>
        <w:tc>
          <w:tcPr/>
          <w:p>
            <w:pPr>
              <w:pStyle w:val="Compact"/>
              <w:jc w:val="left"/>
            </w:pPr>
            <w:r>
              <w:t xml:space="preserve">One-time (60 minutes)</w:t>
            </w:r>
          </w:p>
        </w:tc>
        <w:tc>
          <w:tcPr/>
          <w:p>
            <w:pPr>
              <w:pStyle w:val="Compact"/>
              <w:jc w:val="left"/>
            </w:pPr>
            <w:r>
              <w:t xml:space="preserve">RM 450.00</w:t>
            </w:r>
          </w:p>
        </w:tc>
        <w:tc>
          <w:tcPr/>
          <w:p>
            <w:pPr>
              <w:pStyle w:val="Compact"/>
              <w:jc w:val="left"/>
            </w:pPr>
            <w:r>
              <w:t xml:space="preserve">1</w:t>
            </w:r>
          </w:p>
        </w:tc>
        <w:tc>
          <w:tcPr/>
          <w:p>
            <w:pPr>
              <w:pStyle w:val="Compact"/>
              <w:jc w:val="left"/>
            </w:pPr>
            <w:r>
              <w:t xml:space="preserve">RM 450.00</w:t>
            </w:r>
          </w:p>
        </w:tc>
      </w:tr>
      <w:tr>
        <w:tc>
          <w:tcPr/>
          <w:p>
            <w:pPr>
              <w:pStyle w:val="Compact"/>
              <w:jc w:val="left"/>
            </w:pPr>
            <w:r>
              <w:t xml:space="preserve">6</w:t>
            </w:r>
          </w:p>
        </w:tc>
        <w:tc>
          <w:tcPr/>
          <w:p>
            <w:pPr>
              <w:pStyle w:val="Compact"/>
              <w:jc w:val="left"/>
            </w:pPr>
            <w:r>
              <w:rPr>
                <w:bCs/>
                <w:b/>
              </w:rPr>
              <w:t xml:space="preserve">Urgent / Emergency Psychiatrist Consultation</w:t>
            </w:r>
            <w:r>
              <w:t xml:space="preserve"> </w:t>
            </w:r>
            <w:r>
              <w:t xml:space="preserve">– After-hours or same-day urgent psychiatric assessment for acute episodes, suicidal ideation, or severe decompensation. Available 24/7 at our</w:t>
            </w:r>
            <w:r>
              <w:t xml:space="preserve"> </w:t>
            </w:r>
            <w:r>
              <w:t xml:space="preserve">Malaysia Kuala Lumpur</w:t>
            </w:r>
            <w:r>
              <w:t xml:space="preserve"> </w:t>
            </w:r>
            <w:r>
              <w:t xml:space="preserve">clinic.</w:t>
            </w:r>
          </w:p>
        </w:tc>
        <w:tc>
          <w:tcPr/>
          <w:p>
            <w:pPr>
              <w:pStyle w:val="Compact"/>
              <w:jc w:val="left"/>
            </w:pPr>
            <w:r>
              <w:t xml:space="preserve">As required (60 minutes)</w:t>
            </w:r>
          </w:p>
        </w:tc>
        <w:tc>
          <w:tcPr/>
          <w:p>
            <w:pPr>
              <w:pStyle w:val="Compact"/>
              <w:jc w:val="left"/>
            </w:pPr>
            <w:r>
              <w:t xml:space="preserve">RM 1,100.00</w:t>
            </w:r>
          </w:p>
        </w:tc>
        <w:tc>
          <w:tcPr/>
          <w:p>
            <w:pPr>
              <w:pStyle w:val="Compact"/>
              <w:jc w:val="left"/>
            </w:pPr>
            <w:r>
              <w:t xml:space="preserve">1</w:t>
            </w:r>
          </w:p>
        </w:tc>
        <w:tc>
          <w:tcPr/>
          <w:p>
            <w:pPr>
              <w:pStyle w:val="Compact"/>
              <w:jc w:val="left"/>
            </w:pPr>
            <w:r>
              <w:t xml:space="preserve">RM 1,100.00</w:t>
            </w:r>
          </w:p>
        </w:tc>
      </w:tr>
      <w:tr>
        <w:tc>
          <w:tcPr/>
          <w:p>
            <w:pPr>
              <w:pStyle w:val="Compact"/>
              <w:jc w:val="left"/>
            </w:pPr>
            <w:r>
              <w:t xml:space="preserve">7</w:t>
            </w:r>
          </w:p>
        </w:tc>
        <w:tc>
          <w:tcPr/>
          <w:p>
            <w:pPr>
              <w:pStyle w:val="Compact"/>
              <w:jc w:val="left"/>
            </w:pPr>
            <w:r>
              <w:rPr>
                <w:bCs/>
                <w:b/>
              </w:rPr>
              <w:t xml:space="preserve">Medical Certificate &amp; Report Writing</w:t>
            </w:r>
            <w:r>
              <w:t xml:space="preserve"> </w:t>
            </w:r>
            <w:r>
              <w:t xml:space="preserve">– Preparation of detailed psychiatric medical certificates, fitness-for-work assessments, or medico-legal reports as requested by the client or relevant authorities in</w:t>
            </w:r>
            <w:r>
              <w:t xml:space="preserve"> </w:t>
            </w:r>
            <w:r>
              <w:t xml:space="preserve">Malaysia Kuala Lumpur</w:t>
            </w:r>
            <w:r>
              <w:t xml:space="preserve">.</w:t>
            </w:r>
          </w:p>
        </w:tc>
        <w:tc>
          <w:tcPr/>
          <w:p>
            <w:pPr>
              <w:pStyle w:val="Compact"/>
              <w:jc w:val="left"/>
            </w:pPr>
            <w:r>
              <w:t xml:space="preserve">Per document</w:t>
            </w:r>
          </w:p>
        </w:tc>
        <w:tc>
          <w:tcPr/>
          <w:p>
            <w:pPr>
              <w:pStyle w:val="Compact"/>
              <w:jc w:val="left"/>
            </w:pPr>
            <w:r>
              <w:t xml:space="preserve">RM 300.00</w:t>
            </w:r>
          </w:p>
        </w:tc>
        <w:tc>
          <w:tcPr/>
          <w:p>
            <w:pPr>
              <w:pStyle w:val="Compact"/>
              <w:jc w:val="left"/>
            </w:pPr>
            <w:r>
              <w:t xml:space="preserve">2</w:t>
            </w:r>
          </w:p>
        </w:tc>
        <w:tc>
          <w:tcPr/>
          <w:p>
            <w:pPr>
              <w:pStyle w:val="Compact"/>
              <w:jc w:val="left"/>
            </w:pPr>
            <w:r>
              <w:t xml:space="preserve">RM 600.00</w:t>
            </w:r>
          </w:p>
        </w:tc>
      </w:tr>
      <w:tr>
        <w:tc>
          <w:tcPr/>
          <w:p>
            <w:pPr>
              <w:pStyle w:val="Compact"/>
              <w:jc w:val="left"/>
            </w:pPr>
            <w:r>
              <w:t xml:space="preserve">8</w:t>
            </w:r>
          </w:p>
        </w:tc>
        <w:tc>
          <w:tcPr/>
          <w:p>
            <w:pPr>
              <w:pStyle w:val="Compact"/>
              <w:jc w:val="left"/>
            </w:pPr>
            <w:r>
              <w:rPr>
                <w:bCs/>
                <w:b/>
              </w:rPr>
              <w:t xml:space="preserve">Telepsychiatry / Video Consultation</w:t>
            </w:r>
            <w:r>
              <w:t xml:space="preserve"> </w:t>
            </w:r>
            <w:r>
              <w:t xml:space="preserve">– Remote</w:t>
            </w:r>
            <w:r>
              <w:t xml:space="preserve"> </w:t>
            </w:r>
            <w:r>
              <w:t xml:space="preserve">Psychiatrist</w:t>
            </w:r>
            <w:r>
              <w:t xml:space="preserve"> </w:t>
            </w:r>
            <w:r>
              <w:t xml:space="preserve">consultation via secure video platform for patients who are unable to attend in-person sessions at the</w:t>
            </w:r>
            <w:r>
              <w:t xml:space="preserve"> </w:t>
            </w:r>
            <w:r>
              <w:t xml:space="preserve">Malaysia Kuala Lumpur</w:t>
            </w:r>
            <w:r>
              <w:t xml:space="preserve"> </w:t>
            </w:r>
            <w:r>
              <w:t xml:space="preserve">office.</w:t>
            </w:r>
          </w:p>
        </w:tc>
        <w:tc>
          <w:tcPr/>
          <w:p>
            <w:pPr>
              <w:pStyle w:val="Compact"/>
              <w:jc w:val="left"/>
            </w:pPr>
            <w:r>
              <w:t xml:space="preserve">Per session (45 minutes)</w:t>
            </w:r>
          </w:p>
        </w:tc>
        <w:tc>
          <w:tcPr/>
          <w:p>
            <w:pPr>
              <w:pStyle w:val="Compact"/>
              <w:jc w:val="left"/>
            </w:pPr>
            <w:r>
              <w:t xml:space="preserve">RM 400.00</w:t>
            </w:r>
          </w:p>
        </w:tc>
        <w:tc>
          <w:tcPr/>
          <w:p>
            <w:pPr>
              <w:pStyle w:val="Compact"/>
              <w:jc w:val="left"/>
            </w:pPr>
            <w:r>
              <w:t xml:space="preserve">2</w:t>
            </w:r>
          </w:p>
        </w:tc>
        <w:tc>
          <w:tcPr/>
          <w:p>
            <w:pPr>
              <w:pStyle w:val="Compact"/>
              <w:jc w:val="left"/>
            </w:pPr>
            <w:r>
              <w:t xml:space="preserve">RM 800.00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8,300.00</w:t>
            </w:r>
          </w:p>
        </w:tc>
      </w:tr>
      <w:tr>
        <w:tc>
          <w:tcPr/>
          <w:p>
            <w:pPr>
              <w:pStyle w:val="Compact"/>
              <w:jc w:val="left"/>
            </w:pPr>
            <w:r>
              <w:t xml:space="preserve">Service Tax (6% – as per Malaysian LHDN regulations)</w:t>
            </w:r>
          </w:p>
        </w:tc>
        <w:tc>
          <w:tcPr/>
          <w:p>
            <w:pPr>
              <w:pStyle w:val="Compact"/>
              <w:jc w:val="right"/>
            </w:pPr>
            <w:r>
              <w:t xml:space="preserve">RM 498.00</w:t>
            </w:r>
          </w:p>
        </w:tc>
      </w:tr>
      <w:tr>
        <w:tc>
          <w:tcPr/>
          <w:p>
            <w:pPr>
              <w:pStyle w:val="Compact"/>
              <w:jc w:val="left"/>
            </w:pPr>
            <w:r>
              <w:rPr>
                <w:bCs/>
                <w:b/>
              </w:rPr>
              <w:t xml:space="preserve">TOTAL AMOUNT DUE (MYR)</w:t>
            </w:r>
          </w:p>
        </w:tc>
        <w:tc>
          <w:tcPr/>
          <w:p>
            <w:pPr>
              <w:pStyle w:val="Compact"/>
              <w:jc w:val="right"/>
            </w:pPr>
            <w:r>
              <w:rPr>
                <w:bCs/>
                <w:b/>
              </w:rPr>
              <w:t xml:space="preserve">RM 8,798.00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the standard fee schedule of KL MindCare Psychiatry Centre as of June 2025. All prices are quoted in Malaysian Ringgit (MYR / RM). The treating</w:t>
      </w:r>
      <w:r>
        <w:t xml:space="preserve"> </w:t>
      </w:r>
      <w:r>
        <w:t xml:space="preserve">Psychiatrist</w:t>
      </w:r>
      <w:r>
        <w:t xml:space="preserve"> </w:t>
      </w:r>
      <w:r>
        <w:t xml:space="preserve">reserves the right to adjust the treatment plan and associated costs if the clinical condition of the patient warrants additional interventions, specialist referrals, or inpatient admission. Any such changes will be communicated in writing prior to implementation.</w:t>
      </w:r>
    </w:p>
    <w:p>
      <w:pPr>
        <w:pStyle w:val="BodyText"/>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w:t>
      </w:r>
      <w:r>
        <w:t xml:space="preserve"> </w:t>
      </w:r>
      <w:r>
        <w:rPr>
          <w:bCs/>
          <w:b/>
        </w:rPr>
        <w:t xml:space="preserve">thirty (30) calendar days</w:t>
      </w:r>
      <w:r>
        <w:t xml:space="preserve"> </w:t>
      </w:r>
      <w:r>
        <w:t xml:space="preserve">from the date of issue. Beyond this period, pricing may be subject to revision based on prevailing market rates and regulatory changes in</w:t>
      </w:r>
      <w:r>
        <w:t xml:space="preserve"> </w:t>
      </w:r>
      <w:r>
        <w:t xml:space="preserve">Malaysia Kuala Lumpur</w:t>
      </w:r>
      <w:r>
        <w:t xml:space="preserve">.</w:t>
      </w:r>
    </w:p>
    <w:p>
      <w:pPr>
        <w:numPr>
          <w:ilvl w:val="0"/>
          <w:numId w:val="1001"/>
        </w:numPr>
        <w:pStyle w:val="Compact"/>
      </w:pPr>
      <w:r>
        <w:t xml:space="preserve">Payment is due within</w:t>
      </w:r>
      <w:r>
        <w:t xml:space="preserve"> </w:t>
      </w:r>
      <w:r>
        <w:rPr>
          <w:bCs/>
          <w:b/>
        </w:rPr>
        <w:t xml:space="preserve">fourteen (14) days</w:t>
      </w:r>
      <w:r>
        <w:t xml:space="preserve"> </w:t>
      </w:r>
      <w:r>
        <w:t xml:space="preserve">from the date of this</w:t>
      </w:r>
      <w:r>
        <w:t xml:space="preserve"> </w:t>
      </w:r>
      <w:r>
        <w:t xml:space="preserve">Quotation Estimate</w:t>
      </w:r>
      <w:r>
        <w:t xml:space="preserve">. Accepted payment methods include bank transfer (Maybank, CIMB, Public Bank), credit/debit card, and FPX online banking. Invoices will be issued upon acceptance of this quotation.</w:t>
      </w:r>
    </w:p>
    <w:p>
      <w:pPr>
        <w:numPr>
          <w:ilvl w:val="0"/>
          <w:numId w:val="1001"/>
        </w:numPr>
        <w:pStyle w:val="Compact"/>
      </w:pPr>
      <w:r>
        <w:t xml:space="preserve">All</w:t>
      </w:r>
      <w:r>
        <w:t xml:space="preserve"> </w:t>
      </w:r>
      <w:r>
        <w:t xml:space="preserve">Psychiatrist</w:t>
      </w:r>
      <w:r>
        <w:t xml:space="preserve"> </w:t>
      </w:r>
      <w:r>
        <w:t xml:space="preserve">consultations and clinical records are subject to strict confidentiality as mandated by the Malaysian Medical Council's Code of Ethics and the Personal Data Protection Act 2010 (PDPA). Patient information will not be disclosed to any third party without written consent, except where required by law.</w:t>
      </w:r>
    </w:p>
    <w:p>
      <w:pPr>
        <w:numPr>
          <w:ilvl w:val="0"/>
          <w:numId w:val="1001"/>
        </w:numPr>
        <w:pStyle w:val="Compact"/>
      </w:pPr>
      <w:r>
        <w:t xml:space="preserve">The</w:t>
      </w:r>
      <w:r>
        <w:t xml:space="preserve"> </w:t>
      </w:r>
      <w:r>
        <w:t xml:space="preserve">Psychiatrist</w:t>
      </w:r>
      <w:r>
        <w:t xml:space="preserve"> </w:t>
      </w:r>
      <w:r>
        <w:t xml:space="preserve">at KL MindCare Psychiatry Centre is a registered medical practitioner with a valid licence issued by the Malaysian Medical Council (MMC) and is a member of the Malaysian Psychiatric Association (MPA). All services are delivered in accordance with the highest standards of clinical practice in</w:t>
      </w:r>
      <w:r>
        <w:t xml:space="preserve"> </w:t>
      </w:r>
      <w:r>
        <w:t xml:space="preserve">Malaysia Kuala Lumpur</w:t>
      </w:r>
      <w:r>
        <w:t xml:space="preserve">.</w:t>
      </w:r>
    </w:p>
    <w:p>
      <w:pPr>
        <w:numPr>
          <w:ilvl w:val="0"/>
          <w:numId w:val="1001"/>
        </w:numPr>
        <w:pStyle w:val="Compact"/>
      </w:pPr>
      <w:r>
        <w:t xml:space="preserve">Cancellation of scheduled appointments must be made at least</w:t>
      </w:r>
      <w:r>
        <w:t xml:space="preserve"> </w:t>
      </w:r>
      <w:r>
        <w:rPr>
          <w:bCs/>
          <w:b/>
        </w:rPr>
        <w:t xml:space="preserve">24 hours</w:t>
      </w:r>
      <w:r>
        <w:t xml:space="preserve"> </w:t>
      </w:r>
      <w:r>
        <w:t xml:space="preserve">in advance. Late cancellations or no-shows will be charged at 50% of the applicable consultation fee.</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clinical outcomes. The treating</w:t>
      </w:r>
      <w:r>
        <w:t xml:space="preserve"> </w:t>
      </w:r>
      <w:r>
        <w:t xml:space="preserve">Psychiatrist</w:t>
      </w:r>
      <w:r>
        <w:t xml:space="preserve"> </w:t>
      </w:r>
      <w:r>
        <w:t xml:space="preserve">will exercise professional clinical judgement in determining the most appropriate course of treatment for the patient.</w:t>
      </w:r>
    </w:p>
    <w:p>
      <w:pPr>
        <w:numPr>
          <w:ilvl w:val="0"/>
          <w:numId w:val="1001"/>
        </w:numPr>
        <w:pStyle w:val="Compact"/>
      </w:pPr>
      <w:r>
        <w:t xml:space="preserve">Any disputes arising from this</w:t>
      </w:r>
      <w:r>
        <w:t xml:space="preserve"> </w:t>
      </w:r>
      <w:r>
        <w:t xml:space="preserve">Quotation Estimate</w:t>
      </w:r>
      <w:r>
        <w:t xml:space="preserve"> </w:t>
      </w:r>
      <w:r>
        <w:t xml:space="preserve">shall be governed by the laws of Malaysia and subject to the exclusive jurisdiction of the courts in</w:t>
      </w:r>
      <w:r>
        <w:t xml:space="preserve"> </w:t>
      </w:r>
      <w:r>
        <w:t xml:space="preserve">Malaysia Kuala Lumpur</w:t>
      </w:r>
      <w:r>
        <w:t xml:space="preserve">.</w:t>
      </w:r>
    </w:p>
    <w:p>
      <w:pPr>
        <w:numPr>
          <w:ilvl w:val="0"/>
          <w:numId w:val="1001"/>
        </w:numPr>
        <w:pStyle w:val="Compact"/>
      </w:pPr>
      <w:r>
        <w:t xml:space="preserve">Prescriptions issued by the</w:t>
      </w:r>
      <w:r>
        <w:t xml:space="preserve"> </w:t>
      </w:r>
      <w:r>
        <w:t xml:space="preserve">Psychiatrist</w:t>
      </w:r>
      <w:r>
        <w:t xml:space="preserve"> </w:t>
      </w:r>
      <w:r>
        <w:t xml:space="preserve">are valid for a maximum of ninety (90) days in accordance with Malaysian pharmaceutical regulations. Controlled substances (Schedule 1 and 2 drugs) will be prescribed in compliance with the Poisons Act 1952 and relevant MMC directives.</w:t>
      </w:r>
    </w:p>
    <w:p>
      <w:pPr>
        <w:pStyle w:val="FirstParagraph"/>
      </w:pPr>
      <w:r>
        <w:t xml:space="preserve">5. ACCEPTANCE &amp; AUTHORISATION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and agrees to the terms and conditions outlined herein. The client confirms that the information provided for the purpose of this estimate is accurate and that the services described are required for the patient identified in the clinical file.</w:t>
      </w:r>
    </w:p>
    <w:p>
      <w:pPr>
        <w:pStyle w:val="BodyText"/>
      </w:pPr>
      <w:r>
        <w:rPr>
          <w:bCs/>
          <w:b/>
        </w:rPr>
        <w:t xml:space="preserve">For and on behalf of KL MindCare Psychiatry Centre</w:t>
      </w:r>
      <w:r>
        <w:br/>
      </w:r>
      <w:r>
        <w:t xml:space="preserve">Dr. [Name], MBBS, MMed (Psych), FRCPsych</w:t>
      </w:r>
      <w:r>
        <w:br/>
      </w:r>
      <w:r>
        <w:t xml:space="preserve">Lead</w:t>
      </w:r>
      <w:r>
        <w:t xml:space="preserve"> </w:t>
      </w:r>
      <w:r>
        <w:t xml:space="preserve">Psychiatrist</w:t>
      </w:r>
      <w:r>
        <w:t xml:space="preserve"> </w:t>
      </w:r>
      <w:r>
        <w:t xml:space="preserve">&amp; Medical Director</w:t>
      </w:r>
      <w:r>
        <w:br/>
      </w:r>
      <w:r>
        <w:t xml:space="preserve">MMC Reg. No: [XXXXX]</w:t>
      </w:r>
      <w:r>
        <w:br/>
      </w:r>
      <w:r>
        <w:t xml:space="preserve">Date: _______________</w:t>
      </w:r>
    </w:p>
    <w:p>
      <w:pPr>
        <w:pStyle w:val="BodyText"/>
      </w:pPr>
      <w:r>
        <w:rPr>
          <w:bCs/>
          <w:b/>
        </w:rPr>
        <w:t xml:space="preserve">Client / Authorised Representative</w:t>
      </w:r>
      <w:r>
        <w:br/>
      </w:r>
      <w:r>
        <w:t xml:space="preserve">Name: ___________________________</w:t>
      </w:r>
      <w:r>
        <w:br/>
      </w:r>
      <w:r>
        <w:t xml:space="preserve">Designation: _____________________</w:t>
      </w:r>
      <w:r>
        <w:br/>
      </w:r>
      <w:r>
        <w:t xml:space="preserve">Organisation: ____________________</w:t>
      </w:r>
      <w:r>
        <w:br/>
      </w:r>
      <w:r>
        <w:t xml:space="preserve">Date: _______________</w:t>
      </w:r>
    </w:p>
    <w:p>
      <w:pPr>
        <w:pStyle w:val="BodyText"/>
      </w:pPr>
      <w:r>
        <w:rPr>
          <w:bCs/>
          <w:b/>
        </w:rPr>
        <w:t xml:space="preserve">KL MindCare Psychiatry Centre</w:t>
      </w:r>
      <w:r>
        <w:t xml:space="preserve"> </w:t>
      </w:r>
      <w:r>
        <w:t xml:space="preserve">| Level 12, Menara Sentral, Jalan Stesen Sentral 5, 50470</w:t>
      </w:r>
      <w:r>
        <w:t xml:space="preserve"> </w:t>
      </w:r>
      <w:r>
        <w:t xml:space="preserve">Malaysia Kuala Lumpur</w:t>
      </w:r>
      <w:r>
        <w:br/>
      </w:r>
      <w:r>
        <w:t xml:space="preserve">This</w:t>
      </w:r>
      <w:r>
        <w:t xml:space="preserve"> </w:t>
      </w:r>
      <w:r>
        <w:t xml:space="preserve">Quotation Estimate</w:t>
      </w:r>
      <w:r>
        <w:t xml:space="preserve"> </w:t>
      </w:r>
      <w:r>
        <w:t xml:space="preserve">(Ref: QE-2025-KL-0342) is the property of KL MindCare Psychiatry Centre and is intended solely for the named client.</w:t>
      </w:r>
      <w:r>
        <w:br/>
      </w:r>
      <w:r>
        <w:t xml:space="preserve">© 2025 KL MindCare Psychiatry Centre. All rights reserved. |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Malaysia Kuala Lumpur</dc:title>
  <dc:creator/>
  <dc:language>en</dc:language>
  <cp:keywords/>
  <dcterms:created xsi:type="dcterms:W3CDTF">2026-10-10T05:10:21Z</dcterms:created>
  <dcterms:modified xsi:type="dcterms:W3CDTF">2026-10-10T05:10:21Z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