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Radiologist</w:t>
      </w:r>
      <w:r>
        <w:t xml:space="preserve"> </w:t>
      </w:r>
      <w:r>
        <w:t xml:space="preserve">Services</w:t>
      </w:r>
      <w:r>
        <w:t xml:space="preserve"> </w:t>
      </w:r>
      <w:r>
        <w:t xml:space="preserve">-</w:t>
      </w:r>
      <w:r>
        <w:t xml:space="preserve"> </w:t>
      </w:r>
      <w:r>
        <w:t xml:space="preserve">Peru</w:t>
      </w:r>
      <w:r>
        <w:t xml:space="preserve"> </w:t>
      </w:r>
      <w:r>
        <w:t xml:space="preserve">Lima</w:t>
      </w:r>
    </w:p>
    <w:bookmarkStart w:id="20" w:name="quotation-estimate"/>
    <w:p>
      <w:pPr>
        <w:pStyle w:val="Heading1"/>
      </w:pPr>
      <w:r>
        <w:t xml:space="preserve">Quotation Estimate</w:t>
      </w:r>
    </w:p>
    <w:p>
      <w:pPr>
        <w:pStyle w:val="FirstParagraph"/>
      </w:pPr>
      <w:r>
        <w:rPr>
          <w:bCs/>
          <w:b/>
        </w:rPr>
        <w:t xml:space="preserve">MediRadiología del Pacífico S.A.C.</w:t>
      </w:r>
    </w:p>
    <w:p>
      <w:pPr>
        <w:pStyle w:val="BodyText"/>
      </w:pPr>
      <w:r>
        <w:t xml:space="preserve">Av. Javier Prado Este 1250, San Isidro, Lima, Peru</w:t>
      </w:r>
    </w:p>
    <w:p>
      <w:pPr>
        <w:pStyle w:val="BodyText"/>
      </w:pPr>
      <w:r>
        <w:t xml:space="preserve">RUC: 20587432190 | Tel: +51 1 445-6789 | Email: quotes@mediradiologia.pe</w:t>
      </w:r>
    </w:p>
    <w:p>
      <w:pPr>
        <w:pStyle w:val="BodyText"/>
      </w:pPr>
      <w:r>
        <w:t xml:space="preserve">Ministry of Health License No. 004521-MINSA | Radiologist Certification: COFAM No. 88214</w:t>
      </w:r>
    </w:p>
    <w:bookmarkEnd w:id="20"/>
    <w:p>
      <w:pPr>
        <w:pStyle w:val="BodyText"/>
      </w:pPr>
      <w:r>
        <w:rPr>
          <w:bCs/>
          <w:b/>
        </w:rPr>
        <w:t xml:space="preserve">Quotation Estimate No.:</w:t>
      </w:r>
      <w:r>
        <w:t xml:space="preserve"> </w:t>
      </w:r>
      <w:r>
        <w:t xml:space="preserve">QE-2025-0347</w:t>
      </w:r>
    </w:p>
    <w:p>
      <w:pPr>
        <w:pStyle w:val="BodyText"/>
      </w:pPr>
      <w:r>
        <w:rPr>
          <w:bCs/>
          <w:b/>
        </w:rPr>
        <w:t xml:space="preserve">Date of Issue:</w:t>
      </w:r>
      <w:r>
        <w:t xml:space="preserve"> </w:t>
      </w:r>
      <w:r>
        <w:t xml:space="preserve">June 12, 2025</w:t>
      </w:r>
    </w:p>
    <w:p>
      <w:pPr>
        <w:pStyle w:val="BodyText"/>
      </w:pPr>
      <w:r>
        <w:rPr>
          <w:bCs/>
          <w:b/>
        </w:rPr>
        <w:t xml:space="preserve">Valid Until:</w:t>
      </w:r>
      <w:r>
        <w:t xml:space="preserve"> </w:t>
      </w:r>
      <w:r>
        <w:t xml:space="preserve">July 12, 2025 (30 days)</w:t>
      </w:r>
    </w:p>
    <w:p>
      <w:pPr>
        <w:pStyle w:val="BodyText"/>
      </w:pPr>
      <w:r>
        <w:rPr>
          <w:bCs/>
          <w:b/>
        </w:rPr>
        <w:t xml:space="preserve">Location of Service:</w:t>
      </w:r>
      <w:r>
        <w:t xml:space="preserve"> </w:t>
      </w:r>
      <w:r>
        <w:t xml:space="preserve">Peru Lima</w:t>
      </w:r>
    </w:p>
    <w:bookmarkStart w:id="21" w:name="client-information"/>
    <w:p>
      <w:pPr>
        <w:pStyle w:val="Heading2"/>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r>
              <w:t xml:space="preserve"> </w:t>
            </w:r>
            <w:r>
              <w:t xml:space="preserve">Hospital Nacional Arzobispo Loayza</w:t>
            </w:r>
          </w:p>
        </w:tc>
        <w:tc>
          <w:tcPr/>
          <w:p>
            <w:pPr>
              <w:pStyle w:val="Compact"/>
              <w:jc w:val="left"/>
            </w:pPr>
            <w:r>
              <w:rPr>
                <w:bCs/>
                <w:b/>
              </w:rPr>
              <w:t xml:space="preserve">Contact Person:</w:t>
            </w:r>
            <w:r>
              <w:t xml:space="preserve"> </w:t>
            </w:r>
            <w:r>
              <w:t xml:space="preserve">Dr. Carlos Mendoza, Head of Imaging Department</w:t>
            </w:r>
          </w:p>
        </w:tc>
      </w:tr>
      <w:tr>
        <w:tc>
          <w:tcPr/>
          <w:p>
            <w:pPr>
              <w:pStyle w:val="Compact"/>
              <w:jc w:val="left"/>
            </w:pPr>
            <w:r>
              <w:rPr>
                <w:bCs/>
                <w:b/>
              </w:rPr>
              <w:t xml:space="preserve">Address:</w:t>
            </w:r>
            <w:r>
              <w:t xml:space="preserve"> </w:t>
            </w:r>
            <w:r>
              <w:t xml:space="preserve">Av. La Marina 1000, La Victoria, Lima, Peru</w:t>
            </w:r>
          </w:p>
        </w:tc>
        <w:tc>
          <w:tcPr/>
          <w:p>
            <w:pPr>
              <w:pStyle w:val="Compact"/>
              <w:jc w:val="left"/>
            </w:pPr>
            <w:r>
              <w:rPr>
                <w:bCs/>
                <w:b/>
              </w:rPr>
              <w:t xml:space="preserve">RUC / Tax ID:</w:t>
            </w:r>
            <w:r>
              <w:t xml:space="preserve"> </w:t>
            </w:r>
            <w:r>
              <w:t xml:space="preserve">20123456789</w:t>
            </w:r>
          </w:p>
        </w:tc>
      </w:tr>
      <w:tr>
        <w:tc>
          <w:tcPr/>
          <w:p>
            <w:pPr>
              <w:pStyle w:val="Compact"/>
              <w:jc w:val="left"/>
            </w:pPr>
            <w:r>
              <w:rPr>
                <w:bCs/>
                <w:b/>
              </w:rPr>
              <w:t xml:space="preserve">Email:</w:t>
            </w:r>
            <w:r>
              <w:t xml:space="preserve"> </w:t>
            </w:r>
            <w:r>
              <w:t xml:space="preserve">imaging@hna.gob.pe</w:t>
            </w:r>
          </w:p>
        </w:tc>
        <w:tc>
          <w:tcPr/>
          <w:p>
            <w:pPr>
              <w:pStyle w:val="Compact"/>
              <w:jc w:val="left"/>
            </w:pPr>
            <w:r>
              <w:rPr>
                <w:bCs/>
                <w:b/>
              </w:rPr>
              <w:t xml:space="preserve">Phone:</w:t>
            </w:r>
            <w:r>
              <w:t xml:space="preserve"> </w:t>
            </w:r>
            <w:r>
              <w:t xml:space="preserve">+51 1 512-3456</w:t>
            </w:r>
          </w:p>
        </w:tc>
      </w:tr>
    </w:tbl>
    <w:bookmarkEnd w:id="21"/>
    <w:bookmarkStart w:id="22" w:name="X224304764d79583e1c7415be663bd1b93f532e7"/>
    <w:p>
      <w:pPr>
        <w:pStyle w:val="Heading2"/>
      </w:pPr>
      <w:r>
        <w:t xml:space="preserve">2. Scope of Services – Radiologist Professional Services in Peru Lima</w:t>
      </w:r>
    </w:p>
    <w:p>
      <w:pPr>
        <w:pStyle w:val="FirstParagraph"/>
      </w:pPr>
      <w:r>
        <w:t xml:space="preserve">This</w:t>
      </w:r>
      <w:r>
        <w:t xml:space="preserve"> </w:t>
      </w:r>
      <w:r>
        <w:t xml:space="preserve">Quotation Estimate</w:t>
      </w:r>
      <w:r>
        <w:t xml:space="preserve"> </w:t>
      </w:r>
      <w:r>
        <w:t xml:space="preserve">is issued by MediRadiología del Pacífico S.A.C. to provide comprehensive</w:t>
      </w:r>
      <w:r>
        <w:t xml:space="preserve"> </w:t>
      </w:r>
      <w:r>
        <w:t xml:space="preserve">Radiologist</w:t>
      </w:r>
      <w:r>
        <w:t xml:space="preserve"> </w:t>
      </w:r>
      <w:r>
        <w:t xml:space="preserve">professional services to the above-named client, to be performed at the client's facility located in</w:t>
      </w:r>
      <w:r>
        <w:t xml:space="preserve"> </w:t>
      </w:r>
      <w:r>
        <w:t xml:space="preserve">Peru Lima</w:t>
      </w:r>
      <w:r>
        <w:t xml:space="preserve">. The services encompass diagnostic imaging interpretation, clinical consultation, and ongoing radiological support as detailed below. All services will be delivered in accordance with the standards established by the Peruvian Ministry of Health (MINSA) and the Peruvian College of Radiologists (Colegio de Radiólogos del Perú).</w:t>
      </w:r>
    </w:p>
    <w:p>
      <w:pPr>
        <w:pStyle w:val="BodyText"/>
      </w:pPr>
      <w:r>
        <w:t xml:space="preserve">The</w:t>
      </w:r>
      <w:r>
        <w:t xml:space="preserve"> </w:t>
      </w:r>
      <w:r>
        <w:t xml:space="preserve">Radiologist</w:t>
      </w:r>
      <w:r>
        <w:t xml:space="preserve"> </w:t>
      </w:r>
      <w:r>
        <w:t xml:space="preserve">assigned to this engagement, Dr. Elena Vargas Quispe (COFAM No. 91452, Board Certified in Diagnostic Radiology and Interventional Radiology), will provide full-time coverage for a period of twelve (12) months, with a minimum of 40 hours per week on-site at the client's facility in the San Isidro district of</w:t>
      </w:r>
      <w:r>
        <w:t xml:space="preserve"> </w:t>
      </w:r>
      <w:r>
        <w:t xml:space="preserve">Peru Lima</w:t>
      </w:r>
      <w:r>
        <w:t xml:space="preserve">. The</w:t>
      </w:r>
      <w:r>
        <w:t xml:space="preserve"> </w:t>
      </w:r>
      <w:r>
        <w:t xml:space="preserve">Radiologist</w:t>
      </w:r>
      <w:r>
        <w:t xml:space="preserve"> </w:t>
      </w:r>
      <w:r>
        <w:t xml:space="preserve">will be responsible for the interpretation of all imaging modalities including X-ray, Computed Tomography (CT), Magnetic Resonance Imaging (MRI), Ultrasound, and Mammography, as well as the supervision of radiology technicians and the issuance of formal diagnostic reports within 24 hours of image acquisition.</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Frequency</w:t>
            </w:r>
          </w:p>
        </w:tc>
        <w:tc>
          <w:tcPr/>
          <w:p>
            <w:pPr>
              <w:pStyle w:val="Compact"/>
              <w:jc w:val="left"/>
            </w:pPr>
            <w:r>
              <w:t xml:space="preserve">Unit Price (PEN)</w:t>
            </w:r>
          </w:p>
        </w:tc>
        <w:tc>
          <w:tcPr/>
          <w:p>
            <w:pPr>
              <w:pStyle w:val="Compact"/>
              <w:jc w:val="left"/>
            </w:pPr>
            <w:r>
              <w:t xml:space="preserve">Monthly Total (PEN)</w:t>
            </w:r>
          </w:p>
        </w:tc>
      </w:tr>
      <w:tr>
        <w:tc>
          <w:tcPr/>
          <w:p>
            <w:pPr>
              <w:pStyle w:val="Compact"/>
              <w:jc w:val="left"/>
            </w:pPr>
            <w:r>
              <w:t xml:space="preserve">01</w:t>
            </w:r>
          </w:p>
        </w:tc>
        <w:tc>
          <w:tcPr/>
          <w:p>
            <w:pPr>
              <w:pStyle w:val="Compact"/>
              <w:jc w:val="left"/>
            </w:pPr>
            <w:r>
              <w:t xml:space="preserve">Full-time Radiologist professional services (40 hrs/week) – Diagnostic interpretation across all modalities (X-ray, CT, MRI, US, Mammography)</w:t>
            </w:r>
          </w:p>
        </w:tc>
        <w:tc>
          <w:tcPr/>
          <w:p>
            <w:pPr>
              <w:pStyle w:val="Compact"/>
              <w:jc w:val="left"/>
            </w:pPr>
            <w:r>
              <w:t xml:space="preserve">Monthly</w:t>
            </w:r>
          </w:p>
        </w:tc>
        <w:tc>
          <w:tcPr/>
          <w:p>
            <w:pPr>
              <w:pStyle w:val="Compact"/>
              <w:jc w:val="left"/>
            </w:pPr>
            <w:r>
              <w:t xml:space="preserve">—</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Emergency Radiologist on-call coverage (24/7 rotation, 2 shifts per week)</w:t>
            </w:r>
          </w:p>
        </w:tc>
        <w:tc>
          <w:tcPr/>
          <w:p>
            <w:pPr>
              <w:pStyle w:val="Compact"/>
              <w:jc w:val="left"/>
            </w:pPr>
            <w:r>
              <w:t xml:space="preserve">Monthly</w:t>
            </w:r>
          </w:p>
        </w:tc>
        <w:tc>
          <w:tcPr/>
          <w:p>
            <w:pPr>
              <w:pStyle w:val="Compact"/>
              <w:jc w:val="left"/>
            </w:pPr>
            <w:r>
              <w:t xml:space="preserve">—</w:t>
            </w:r>
          </w:p>
        </w:tc>
        <w:tc>
          <w:tcPr/>
          <w:p>
            <w:pPr>
              <w:pStyle w:val="Compact"/>
              <w:jc w:val="left"/>
            </w:pPr>
            <w:r>
              <w:t xml:space="preserve">4,200.00</w:t>
            </w:r>
          </w:p>
        </w:tc>
      </w:tr>
      <w:tr>
        <w:tc>
          <w:tcPr/>
          <w:p>
            <w:pPr>
              <w:pStyle w:val="Compact"/>
              <w:jc w:val="left"/>
            </w:pPr>
            <w:r>
              <w:t xml:space="preserve">03</w:t>
            </w:r>
          </w:p>
        </w:tc>
        <w:tc>
          <w:tcPr/>
          <w:p>
            <w:pPr>
              <w:pStyle w:val="Compact"/>
              <w:jc w:val="left"/>
            </w:pPr>
            <w:r>
              <w:t xml:space="preserve">Interventional Radiology procedures (biopsies, angioplasties, embolizations) – per procedure</w:t>
            </w:r>
          </w:p>
        </w:tc>
        <w:tc>
          <w:tcPr/>
          <w:p>
            <w:pPr>
              <w:pStyle w:val="Compact"/>
              <w:jc w:val="left"/>
            </w:pPr>
            <w:r>
              <w:t xml:space="preserve">As needed (est. 8/month)</w:t>
            </w:r>
          </w:p>
        </w:tc>
        <w:tc>
          <w:tcPr/>
          <w:p>
            <w:pPr>
              <w:pStyle w:val="Compact"/>
              <w:jc w:val="left"/>
            </w:pPr>
            <w:r>
              <w:t xml:space="preserve">1,850.00</w:t>
            </w:r>
          </w:p>
        </w:tc>
        <w:tc>
          <w:tcPr/>
          <w:p>
            <w:pPr>
              <w:pStyle w:val="Compact"/>
              <w:jc w:val="left"/>
            </w:pPr>
            <w:r>
              <w:t xml:space="preserve">14,800.00</w:t>
            </w:r>
          </w:p>
        </w:tc>
      </w:tr>
      <w:tr>
        <w:tc>
          <w:tcPr/>
          <w:p>
            <w:pPr>
              <w:pStyle w:val="Compact"/>
              <w:jc w:val="left"/>
            </w:pPr>
            <w:r>
              <w:t xml:space="preserve">04</w:t>
            </w:r>
          </w:p>
        </w:tc>
        <w:tc>
          <w:tcPr/>
          <w:p>
            <w:pPr>
              <w:pStyle w:val="Compact"/>
              <w:jc w:val="left"/>
            </w:pPr>
            <w:r>
              <w:t xml:space="preserve">Second-opinion consultation and multidisciplinary tumor board participation</w:t>
            </w:r>
          </w:p>
        </w:tc>
        <w:tc>
          <w:tcPr/>
          <w:p>
            <w:pPr>
              <w:pStyle w:val="Compact"/>
              <w:jc w:val="left"/>
            </w:pPr>
            <w:r>
              <w:t xml:space="preserve">Monthly (est. 12 sessions)</w:t>
            </w:r>
          </w:p>
        </w:tc>
        <w:tc>
          <w:tcPr/>
          <w:p>
            <w:pPr>
              <w:pStyle w:val="Compact"/>
              <w:jc w:val="left"/>
            </w:pPr>
            <w:r>
              <w:t xml:space="preserve">350.00</w:t>
            </w:r>
          </w:p>
        </w:tc>
        <w:tc>
          <w:tcPr/>
          <w:p>
            <w:pPr>
              <w:pStyle w:val="Compact"/>
              <w:jc w:val="left"/>
            </w:pPr>
            <w:r>
              <w:t xml:space="preserve">4,200.00</w:t>
            </w:r>
          </w:p>
        </w:tc>
      </w:tr>
      <w:tr>
        <w:tc>
          <w:tcPr/>
          <w:p>
            <w:pPr>
              <w:pStyle w:val="Compact"/>
              <w:jc w:val="left"/>
            </w:pPr>
            <w:r>
              <w:t xml:space="preserve">05</w:t>
            </w:r>
          </w:p>
        </w:tc>
        <w:tc>
          <w:tcPr/>
          <w:p>
            <w:pPr>
              <w:pStyle w:val="Compact"/>
              <w:jc w:val="left"/>
            </w:pPr>
            <w:r>
              <w:t xml:space="preserve">Radiology quality assurance audits and PACS system oversight</w:t>
            </w:r>
          </w:p>
        </w:tc>
        <w:tc>
          <w:tcPr/>
          <w:p>
            <w:pPr>
              <w:pStyle w:val="Compact"/>
              <w:jc w:val="left"/>
            </w:pPr>
            <w:r>
              <w:t xml:space="preserve">Quarterly</w:t>
            </w:r>
          </w:p>
        </w:tc>
        <w:tc>
          <w:tcPr/>
          <w:p>
            <w:pPr>
              <w:pStyle w:val="Compact"/>
              <w:jc w:val="left"/>
            </w:pPr>
            <w:r>
              <w:t xml:space="preserve">—</w:t>
            </w:r>
          </w:p>
        </w:tc>
        <w:tc>
          <w:tcPr/>
          <w:p>
            <w:pPr>
              <w:pStyle w:val="Compact"/>
              <w:jc w:val="left"/>
            </w:pPr>
            <w:r>
              <w:t xml:space="preserve">1,500.00</w:t>
            </w:r>
          </w:p>
        </w:tc>
      </w:tr>
      <w:tr>
        <w:tc>
          <w:tcPr/>
          <w:p>
            <w:pPr>
              <w:pStyle w:val="Compact"/>
              <w:jc w:val="left"/>
            </w:pPr>
            <w:r>
              <w:t xml:space="preserve">06</w:t>
            </w:r>
          </w:p>
        </w:tc>
        <w:tc>
          <w:tcPr/>
          <w:p>
            <w:pPr>
              <w:pStyle w:val="Compact"/>
              <w:jc w:val="left"/>
            </w:pPr>
            <w:r>
              <w:t xml:space="preserve">Continuing medical education and training for junior radiology staff in Peru Lima</w:t>
            </w:r>
          </w:p>
        </w:tc>
        <w:tc>
          <w:tcPr/>
          <w:p>
            <w:pPr>
              <w:pStyle w:val="Compact"/>
              <w:jc w:val="left"/>
            </w:pPr>
            <w:r>
              <w:t xml:space="preserve">Monthly</w:t>
            </w:r>
          </w:p>
        </w:tc>
        <w:tc>
          <w:tcPr/>
          <w:p>
            <w:pPr>
              <w:pStyle w:val="Compact"/>
              <w:jc w:val="left"/>
            </w:pPr>
            <w:r>
              <w:t xml:space="preserve">—</w:t>
            </w:r>
          </w:p>
        </w:tc>
        <w:tc>
          <w:tcPr/>
          <w:p>
            <w:pPr>
              <w:pStyle w:val="Compact"/>
              <w:jc w:val="left"/>
            </w:pPr>
            <w:r>
              <w:t xml:space="preserve">1,200.00</w:t>
            </w:r>
          </w:p>
        </w:tc>
      </w:tr>
      <w:tr>
        <w:tc>
          <w:tcPr/>
          <w:p>
            <w:pPr>
              <w:pStyle w:val="Compact"/>
              <w:jc w:val="left"/>
            </w:pPr>
            <w:r>
              <w:t xml:space="preserve">07</w:t>
            </w:r>
          </w:p>
        </w:tc>
        <w:tc>
          <w:tcPr/>
          <w:p>
            <w:pPr>
              <w:pStyle w:val="Compact"/>
              <w:jc w:val="left"/>
            </w:pPr>
            <w:r>
              <w:t xml:space="preserve">Administrative overhead, insurance (SUNASS-compliant), and professional liability coverage</w:t>
            </w:r>
          </w:p>
        </w:tc>
        <w:tc>
          <w:tcPr/>
          <w:p>
            <w:pPr>
              <w:pStyle w:val="Compact"/>
              <w:jc w:val="left"/>
            </w:pPr>
            <w:r>
              <w:t xml:space="preserve">Monthly</w:t>
            </w:r>
          </w:p>
        </w:tc>
        <w:tc>
          <w:tcPr/>
          <w:p>
            <w:pPr>
              <w:pStyle w:val="Compact"/>
              <w:jc w:val="left"/>
            </w:pPr>
            <w:r>
              <w:t xml:space="preserve">—</w:t>
            </w:r>
          </w:p>
        </w:tc>
        <w:tc>
          <w:tcPr/>
          <w:p>
            <w:pPr>
              <w:pStyle w:val="Compact"/>
              <w:jc w:val="left"/>
            </w:pPr>
            <w:r>
              <w:t xml:space="preserve">2,800.00</w:t>
            </w:r>
          </w:p>
        </w:tc>
      </w:tr>
      <w:tr>
        <w:tc>
          <w:tcPr>
            <w:gridSpan w:val="4"/>
          </w:tcPr>
          <w:p>
            <w:pPr>
              <w:pStyle w:val="Compact"/>
              <w:jc w:val="left"/>
            </w:pPr>
            <w:r>
              <w:rPr>
                <w:bCs/>
                <w:b/>
              </w:rPr>
              <w:t xml:space="preserve">Subtotal (Monthly)</w:t>
            </w:r>
          </w:p>
        </w:tc>
        <w:tc>
          <w:tcPr/>
          <w:p>
            <w:pPr>
              <w:pStyle w:val="Compact"/>
              <w:jc w:val="left"/>
            </w:pPr>
            <w:r>
              <w:rPr>
                <w:bCs/>
                <w:b/>
              </w:rPr>
              <w:t xml:space="preserve">47,200.00</w:t>
            </w:r>
          </w:p>
        </w:tc>
      </w:tr>
      <w:tr>
        <w:tc>
          <w:tcPr>
            <w:gridSpan w:val="4"/>
          </w:tcPr>
          <w:p>
            <w:pPr>
              <w:pStyle w:val="Compact"/>
              <w:jc w:val="left"/>
            </w:pPr>
            <w:r>
              <w:rPr>
                <w:bCs/>
                <w:b/>
              </w:rPr>
              <w:t xml:space="preserve">IGV (18% – Peruvian General Sales Tax)</w:t>
            </w:r>
          </w:p>
        </w:tc>
        <w:tc>
          <w:tcPr/>
          <w:p>
            <w:pPr>
              <w:pStyle w:val="Compact"/>
              <w:jc w:val="left"/>
            </w:pPr>
            <w:r>
              <w:rPr>
                <w:bCs/>
                <w:b/>
              </w:rPr>
              <w:t xml:space="preserve">8,496.00</w:t>
            </w:r>
          </w:p>
        </w:tc>
      </w:tr>
      <w:tr>
        <w:tc>
          <w:tcPr>
            <w:gridSpan w:val="4"/>
          </w:tcPr>
          <w:p>
            <w:pPr>
              <w:pStyle w:val="Compact"/>
              <w:jc w:val="left"/>
            </w:pPr>
            <w:r>
              <w:rPr>
                <w:bCs/>
                <w:b/>
              </w:rPr>
              <w:t xml:space="preserve">TOTAL MONTHLY AMOUNT (PEN)</w:t>
            </w:r>
          </w:p>
        </w:tc>
        <w:tc>
          <w:tcPr/>
          <w:p>
            <w:pPr>
              <w:pStyle w:val="Compact"/>
              <w:jc w:val="left"/>
            </w:pPr>
            <w:r>
              <w:rPr>
                <w:bCs/>
                <w:b/>
              </w:rPr>
              <w:t xml:space="preserve">55,696.00</w:t>
            </w:r>
          </w:p>
        </w:tc>
      </w:tr>
      <w:tr>
        <w:tc>
          <w:tcPr>
            <w:gridSpan w:val="4"/>
          </w:tcPr>
          <w:p>
            <w:pPr>
              <w:pStyle w:val="Compact"/>
              <w:jc w:val="left"/>
            </w:pPr>
            <w:r>
              <w:rPr>
                <w:bCs/>
                <w:b/>
              </w:rPr>
              <w:t xml:space="preserve">TOTAL ANNUAL AMOUNT (12 months, PEN)</w:t>
            </w:r>
          </w:p>
        </w:tc>
        <w:tc>
          <w:tcPr/>
          <w:p>
            <w:pPr>
              <w:pStyle w:val="Compact"/>
              <w:jc w:val="left"/>
            </w:pPr>
            <w:r>
              <w:rPr>
                <w:bCs/>
                <w:b/>
              </w:rPr>
              <w:t xml:space="preserve">668,352.00</w:t>
            </w:r>
          </w:p>
        </w:tc>
      </w:tr>
    </w:tbl>
    <w:bookmarkEnd w:id="23"/>
    <w:bookmarkStart w:id="24" w:name="X985eb999f0cfcda5f1af1a675bf0b7c2e0a6c64"/>
    <w:p>
      <w:pPr>
        <w:pStyle w:val="Heading2"/>
      </w:pPr>
      <w:r>
        <w:t xml:space="preserve">4.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expiration date, pricing may be subject to revision based on market conditions in</w:t>
      </w:r>
      <w:r>
        <w:t xml:space="preserve"> </w:t>
      </w:r>
      <w:r>
        <w:t xml:space="preserve">Peru Lima</w:t>
      </w:r>
      <w:r>
        <w:t xml:space="preserve"> </w:t>
      </w:r>
      <w:r>
        <w:t xml:space="preserve">and applicable Peruvian labor regulations.</w:t>
      </w:r>
    </w:p>
    <w:p>
      <w:pPr>
        <w:numPr>
          <w:ilvl w:val="0"/>
          <w:numId w:val="1001"/>
        </w:numPr>
        <w:pStyle w:val="Compact"/>
      </w:pPr>
      <w:r>
        <w:t xml:space="preserve">All prices are quoted in Peruvian Soles (PEN) and are inclusive of the</w:t>
      </w:r>
      <w:r>
        <w:t xml:space="preserve"> </w:t>
      </w:r>
      <w:r>
        <w:t xml:space="preserve">Radiologist</w:t>
      </w:r>
      <w:r>
        <w:t xml:space="preserve">'s professional fees, but exclusive of IGV, which is applied as shown above in compliance with Peruvian tax law (Ley del IGV, D.S. 055-99-EF).</w:t>
      </w:r>
    </w:p>
    <w:p>
      <w:pPr>
        <w:numPr>
          <w:ilvl w:val="0"/>
          <w:numId w:val="1001"/>
        </w:numPr>
        <w:pStyle w:val="Compact"/>
      </w:pPr>
      <w:r>
        <w:t xml:space="preserve">Payment terms: Net 30 days from the date of invoice issuance. Invoices will be issued on the last business day of each calendar month. Late payments will accrue interest at the rate established by the Peruvian Central Bank (BCR) for overdue commercial obligations.</w:t>
      </w:r>
    </w:p>
    <w:p>
      <w:pPr>
        <w:numPr>
          <w:ilvl w:val="0"/>
          <w:numId w:val="1001"/>
        </w:numPr>
        <w:pStyle w:val="Compact"/>
      </w:pPr>
      <w:r>
        <w:t xml:space="preserve">The</w:t>
      </w:r>
      <w:r>
        <w:t xml:space="preserve"> </w:t>
      </w:r>
      <w:r>
        <w:t xml:space="preserve">Radiologist</w:t>
      </w:r>
      <w:r>
        <w:t xml:space="preserve"> </w:t>
      </w:r>
      <w:r>
        <w:t xml:space="preserve">services described herein are subject to the availability of the assigned professional. In the event of illness or unforeseen absence, a qualified substitute</w:t>
      </w:r>
      <w:r>
        <w:t xml:space="preserve"> </w:t>
      </w:r>
      <w:r>
        <w:t xml:space="preserve">Radiologist</w:t>
      </w:r>
      <w:r>
        <w:t xml:space="preserve"> </w:t>
      </w:r>
      <w:r>
        <w:t xml:space="preserve">with equivalent credentials will be provided at no additional cost to the client.</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A formal service agreement must be executed by both parties prior to the commencement of services. The agreement will be governed by the laws of the Republic of Peru, and any disputes will be resolved in the competent courts of</w:t>
      </w:r>
      <w:r>
        <w:t xml:space="preserve"> </w:t>
      </w:r>
      <w:r>
        <w:t xml:space="preserve">Peru Lima</w:t>
      </w:r>
      <w:r>
        <w:t xml:space="preserve">.</w:t>
      </w:r>
    </w:p>
    <w:p>
      <w:pPr>
        <w:numPr>
          <w:ilvl w:val="0"/>
          <w:numId w:val="1001"/>
        </w:numPr>
        <w:pStyle w:val="Compact"/>
      </w:pPr>
      <w:r>
        <w:t xml:space="preserve">The client is responsible for providing all necessary imaging equipment, PACS infrastructure, and a suitable workspace for the</w:t>
      </w:r>
      <w:r>
        <w:t xml:space="preserve"> </w:t>
      </w:r>
      <w:r>
        <w:t xml:space="preserve">Radiologist</w:t>
      </w:r>
      <w:r>
        <w:t xml:space="preserve"> </w:t>
      </w:r>
      <w:r>
        <w:t xml:space="preserve">at the facility in</w:t>
      </w:r>
      <w:r>
        <w:t xml:space="preserve"> </w:t>
      </w:r>
      <w:r>
        <w:t xml:space="preserve">Peru Lima</w:t>
      </w:r>
      <w:r>
        <w:t xml:space="preserve">.</w:t>
      </w:r>
    </w:p>
    <w:p>
      <w:pPr>
        <w:numPr>
          <w:ilvl w:val="0"/>
          <w:numId w:val="1001"/>
        </w:numPr>
        <w:pStyle w:val="Compact"/>
      </w:pPr>
      <w:r>
        <w:t xml:space="preserve">Confidentiality: All patient data and diagnostic information handled by the</w:t>
      </w:r>
      <w:r>
        <w:t xml:space="preserve"> </w:t>
      </w:r>
      <w:r>
        <w:t xml:space="preserve">Radiologist</w:t>
      </w:r>
      <w:r>
        <w:t xml:space="preserve"> </w:t>
      </w:r>
      <w:r>
        <w:t xml:space="preserve">will be protected in accordance with Peruvian Law No. 29733 (Personal Data Protection Law) and the ethical code of the Peruvian College of Radiologists.</w:t>
      </w:r>
    </w:p>
    <w:p>
      <w:pPr>
        <w:numPr>
          <w:ilvl w:val="0"/>
          <w:numId w:val="1001"/>
        </w:numPr>
        <w:pStyle w:val="Compact"/>
      </w:pPr>
      <w:r>
        <w:t xml:space="preserve">Termination: Either party may terminate the service agreement with sixty (60) days' written notice. In the event of termination, the client shall pay for all services rendered up to the effective date of termination.</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provision of</w:t>
      </w:r>
      <w:r>
        <w:t xml:space="preserve"> </w:t>
      </w:r>
      <w:r>
        <w:t xml:space="preserve">Radiologist</w:t>
      </w:r>
      <w:r>
        <w:t xml:space="preserve"> </w:t>
      </w:r>
      <w:r>
        <w:t xml:space="preserve">services in</w:t>
      </w:r>
      <w:r>
        <w:t xml:space="preserve"> </w:t>
      </w:r>
      <w:r>
        <w:t xml:space="preserve">Peru Lima</w:t>
      </w:r>
      <w:r>
        <w:t xml:space="preserve">. This acceptance does not obligate either party until a definitive service contract is formally executed.</w:t>
      </w:r>
    </w:p>
    <w:p>
      <w:pPr>
        <w:pStyle w:val="BodyText"/>
      </w:pPr>
      <w:r>
        <w:rPr>
          <w:bCs/>
          <w:b/>
        </w:rPr>
        <w:t xml:space="preserve">For MediRadiología del Pacífico S.A.C.</w:t>
      </w:r>
      <w:r>
        <w:br/>
      </w:r>
      <w:r>
        <w:t xml:space="preserve">Dr. Elena Vargas Quispe – Lead Radiologist</w:t>
      </w:r>
      <w:r>
        <w:br/>
      </w:r>
      <w:r>
        <w:t xml:space="preserve">Name / Signature / Date</w:t>
      </w:r>
    </w:p>
    <w:p>
      <w:pPr>
        <w:pStyle w:val="BodyText"/>
      </w:pPr>
      <w:r>
        <w:rPr>
          <w:bCs/>
          <w:b/>
        </w:rPr>
        <w:t xml:space="preserve">For Hospital Nacional Arzobispo Loayza</w:t>
      </w:r>
      <w:r>
        <w:br/>
      </w:r>
      <w:r>
        <w:t xml:space="preserve">Dr. Carlos Mendoza – Head of Imaging</w:t>
      </w:r>
      <w:r>
        <w:br/>
      </w:r>
      <w:r>
        <w:t xml:space="preserve">Name / Signature / Date</w:t>
      </w:r>
    </w:p>
    <w:p>
      <w:pPr>
        <w:pStyle w:val="BodyText"/>
      </w:pPr>
      <w:r>
        <w:rPr>
          <w:bCs/>
          <w:b/>
        </w:rPr>
        <w:t xml:space="preserve">Important Note:</w:t>
      </w:r>
      <w:r>
        <w:t xml:space="preserve"> </w:t>
      </w:r>
      <w:r>
        <w:t xml:space="preserve">This Quotation Estimate has been prepared specifically for services to be rendered in Peru Lima and is subject to the regulatory framework of the Peruvian Ministry of Health (MINSA), the Superintendencia Nacional de Salud (SUNASA), and the Peruvian tax authority (SUNAT). All Radiologist professionals engaged under this estimate hold valid practice licenses issued by the Peruvian medical regulatory authorities. This document is confidential and intended solely for the named recipient.</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Radiologist Services - Peru Lima</dc:title>
  <dc:creator/>
  <dc:language>en</dc:language>
  <cp:keywords/>
  <dcterms:created xsi:type="dcterms:W3CDTF">2026-10-10T06:14:54Z</dcterms:created>
  <dcterms:modified xsi:type="dcterms:W3CDTF">2026-10-10T06:14:54Z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