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Robotics Engineer Services</w:t>
      </w:r>
    </w:p>
    <w:p>
      <w:pPr>
        <w:pStyle w:val="BodyText"/>
      </w:pPr>
      <w:r>
        <w:t xml:space="preserve">Argentina Buenos Aires | Valid for 30 Calendar Days</w:t>
      </w:r>
    </w:p>
    <w:bookmarkEnd w:id="20"/>
    <w:p>
      <w:pPr>
        <w:pStyle w:val="BodyText"/>
      </w:pPr>
      <w:r>
        <w:rPr>
          <w:bCs/>
          <w:b/>
        </w:rPr>
        <w:t xml:space="preserve">Quotation No.:</w:t>
      </w:r>
      <w:r>
        <w:t xml:space="preserve"> </w:t>
      </w:r>
      <w:r>
        <w:t xml:space="preserve">QTE-BA-2025-0472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Ing. Marcos E. Villanueva</w:t>
      </w:r>
      <w:r>
        <w:br/>
      </w:r>
      <w:r>
        <w:rPr>
          <w:bCs/>
          <w:b/>
        </w:rPr>
        <w:t xml:space="preserve">Title:</w:t>
      </w:r>
      <w:r>
        <w:t xml:space="preserve"> </w:t>
      </w:r>
      <w:r>
        <w:t xml:space="preserve">Senior Robotics Engineer</w:t>
      </w:r>
      <w:r>
        <w:br/>
      </w:r>
      <w:r>
        <w:rPr>
          <w:bCs/>
          <w:b/>
        </w:rPr>
        <w:t xml:space="preserve">License No.:</w:t>
      </w:r>
      <w:r>
        <w:t xml:space="preserve"> </w:t>
      </w:r>
      <w:r>
        <w:t xml:space="preserve">AR-ROB-2019-00342</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Industrias Tecnológicas del Sur S.A.</w:t>
            </w:r>
          </w:p>
        </w:tc>
      </w:tr>
      <w:tr>
        <w:tc>
          <w:tcPr/>
          <w:p>
            <w:pPr>
              <w:pStyle w:val="Compact"/>
              <w:jc w:val="left"/>
            </w:pPr>
            <w:r>
              <w:t xml:space="preserve">Address</w:t>
            </w:r>
          </w:p>
        </w:tc>
        <w:tc>
          <w:tcPr/>
          <w:p>
            <w:pPr>
              <w:pStyle w:val="Compact"/>
              <w:jc w:val="left"/>
            </w:pPr>
            <w:r>
              <w:t xml:space="preserve">Av. Corrientes 2340, Piso 12, Buenos Aires, C1043AAE, Argentina</w:t>
            </w:r>
          </w:p>
        </w:tc>
      </w:tr>
      <w:tr>
        <w:tc>
          <w:tcPr/>
          <w:p>
            <w:pPr>
              <w:pStyle w:val="Compact"/>
              <w:jc w:val="left"/>
            </w:pPr>
            <w:r>
              <w:t xml:space="preserve">Contact Person</w:t>
            </w:r>
          </w:p>
        </w:tc>
        <w:tc>
          <w:tcPr/>
          <w:p>
            <w:pPr>
              <w:pStyle w:val="Compact"/>
              <w:jc w:val="left"/>
            </w:pPr>
            <w:r>
              <w:t xml:space="preserve">Sra. Laura Fernández – Director of Operations</w:t>
            </w:r>
          </w:p>
        </w:tc>
      </w:tr>
      <w:tr>
        <w:tc>
          <w:tcPr/>
          <w:p>
            <w:pPr>
              <w:pStyle w:val="Compact"/>
              <w:jc w:val="left"/>
            </w:pPr>
            <w:r>
              <w:t xml:space="preserve">CUIT</w:t>
            </w:r>
          </w:p>
        </w:tc>
        <w:tc>
          <w:tcPr/>
          <w:p>
            <w:pPr>
              <w:pStyle w:val="Compact"/>
              <w:jc w:val="left"/>
            </w:pPr>
            <w:r>
              <w:t xml:space="preserve">30-71234567-8</w:t>
            </w:r>
          </w:p>
        </w:tc>
      </w:tr>
      <w:tr>
        <w:tc>
          <w:tcPr/>
          <w:p>
            <w:pPr>
              <w:pStyle w:val="Compact"/>
              <w:jc w:val="left"/>
            </w:pPr>
            <w:r>
              <w:t xml:space="preserve">Project Location</w:t>
            </w:r>
          </w:p>
        </w:tc>
        <w:tc>
          <w:tcPr/>
          <w:p>
            <w:pPr>
              <w:pStyle w:val="Compact"/>
              <w:jc w:val="left"/>
            </w:pPr>
            <w:r>
              <w:t xml:space="preserve">Industrial Plant, Parque Industrial Ezeiza, Buenos Aires, Argentina</w:t>
            </w:r>
          </w:p>
        </w:tc>
      </w:tr>
    </w:tbl>
    <w:bookmarkEnd w:id="21"/>
    <w:bookmarkStart w:id="22" w:name="scope-of-work-robotics-engineer-services"/>
    <w:p>
      <w:pPr>
        <w:pStyle w:val="Heading2"/>
      </w:pPr>
      <w:r>
        <w:t xml:space="preserve">2. Scope of Work – Robotics Engineer Services</w:t>
      </w:r>
    </w:p>
    <w:p>
      <w:pPr>
        <w:pStyle w:val="FirstParagraph"/>
      </w:pPr>
      <w:r>
        <w:t xml:space="preserve">This</w:t>
      </w:r>
      <w:r>
        <w:t xml:space="preserve"> </w:t>
      </w:r>
      <w:r>
        <w:t xml:space="preserve">Quotation Estimate</w:t>
      </w:r>
      <w:r>
        <w:t xml:space="preserve"> </w:t>
      </w:r>
      <w:r>
        <w:t xml:space="preserve">is issued for the provision of specialized</w:t>
      </w:r>
      <w:r>
        <w:t xml:space="preserve"> </w:t>
      </w:r>
      <w:r>
        <w:t xml:space="preserve">Robotics Engineer</w:t>
      </w:r>
      <w:r>
        <w:t xml:space="preserve"> </w:t>
      </w:r>
      <w:r>
        <w:t xml:space="preserve">consulting and implementation services to be carried out in</w:t>
      </w:r>
      <w:r>
        <w:t xml:space="preserve"> </w:t>
      </w:r>
      <w:r>
        <w:t xml:space="preserve">Argentina Buenos Aires</w:t>
      </w:r>
      <w:r>
        <w:t xml:space="preserve">. The scope encompasses the full lifecycle of robotic system design, integration, programming, and commissioning for the client's automated production line. All work will be performed in compliance with Argentine national standards (IRAM), local labor regulations, and the specific industrial safety codes applicable to the Buenos Aires metropolitan area.</w:t>
      </w:r>
    </w:p>
    <w:p>
      <w:pPr>
        <w:pStyle w:val="BodyText"/>
      </w:pPr>
      <w:r>
        <w:t xml:space="preserve">The</w:t>
      </w:r>
      <w:r>
        <w:t xml:space="preserve"> </w:t>
      </w:r>
      <w:r>
        <w:t xml:space="preserve">Robotics Engineer</w:t>
      </w:r>
      <w:r>
        <w:t xml:space="preserve"> </w:t>
      </w:r>
      <w:r>
        <w:t xml:space="preserve">engaged under this</w:t>
      </w:r>
      <w:r>
        <w:t xml:space="preserve"> </w:t>
      </w:r>
      <w:r>
        <w:t xml:space="preserve">Quotation Estimate</w:t>
      </w:r>
      <w:r>
        <w:t xml:space="preserve"> </w:t>
      </w:r>
      <w:r>
        <w:t xml:space="preserve">will be responsible for the following deliverables:</w:t>
      </w:r>
    </w:p>
    <w:p>
      <w:pPr>
        <w:numPr>
          <w:ilvl w:val="0"/>
          <w:numId w:val="1001"/>
        </w:numPr>
        <w:pStyle w:val="Compact"/>
      </w:pPr>
      <w:r>
        <w:t xml:space="preserve">Site assessment and feasibility study at the client's facility in Ezeiza, Buenos Aires, Argentina, including evaluation of existing infrastructure, power supply, and spatial constraints.</w:t>
      </w:r>
    </w:p>
    <w:p>
      <w:pPr>
        <w:numPr>
          <w:ilvl w:val="0"/>
          <w:numId w:val="1001"/>
        </w:numPr>
        <w:pStyle w:val="Compact"/>
      </w:pPr>
      <w:r>
        <w:t xml:space="preserve">Design and engineering of a six-axis industrial robotic arm system (payload capacity: 12 kg) tailored to the client's assembly operations.</w:t>
      </w:r>
    </w:p>
    <w:p>
      <w:pPr>
        <w:numPr>
          <w:ilvl w:val="0"/>
          <w:numId w:val="1001"/>
        </w:numPr>
        <w:pStyle w:val="Compact"/>
      </w:pPr>
      <w:r>
        <w:t xml:space="preserve">Development of custom PLC programming, HMI interfaces, and end-of-arm tooling specifications.</w:t>
      </w:r>
    </w:p>
    <w:p>
      <w:pPr>
        <w:numPr>
          <w:ilvl w:val="0"/>
          <w:numId w:val="1001"/>
        </w:numPr>
        <w:pStyle w:val="Compact"/>
      </w:pPr>
      <w:r>
        <w:t xml:space="preserve">Integration of the robotic cell with the client's existing conveyor system and SCADA monitoring platform.</w:t>
      </w:r>
    </w:p>
    <w:p>
      <w:pPr>
        <w:numPr>
          <w:ilvl w:val="0"/>
          <w:numId w:val="1001"/>
        </w:numPr>
        <w:pStyle w:val="Compact"/>
      </w:pPr>
      <w:r>
        <w:t xml:space="preserve">On-site installation, calibration, and commissioning of the</w:t>
      </w:r>
      <w:r>
        <w:t xml:space="preserve"> </w:t>
      </w:r>
      <w:r>
        <w:t xml:space="preserve">Robotics Engineer</w:t>
      </w:r>
      <w:r>
        <w:t xml:space="preserve">-designed system at the Buenos Aires plant.</w:t>
      </w:r>
    </w:p>
    <w:p>
      <w:pPr>
        <w:numPr>
          <w:ilvl w:val="0"/>
          <w:numId w:val="1001"/>
        </w:numPr>
        <w:pStyle w:val="Compact"/>
      </w:pPr>
      <w:r>
        <w:t xml:space="preserve">Operator training sessions (minimum 40 hours) for up to eight (8) plant personnel in Argentina Buenos Aires.</w:t>
      </w:r>
    </w:p>
    <w:p>
      <w:pPr>
        <w:numPr>
          <w:ilvl w:val="0"/>
          <w:numId w:val="1001"/>
        </w:numPr>
        <w:pStyle w:val="Compact"/>
      </w:pPr>
      <w:r>
        <w:t xml:space="preserve">Provision of complete technical documentation, including wiring diagrams, P&amp;ID sheets, maintenance manuals, and safety risk assessments in both Spanish and English.</w:t>
      </w:r>
    </w:p>
    <w:p>
      <w:pPr>
        <w:numPr>
          <w:ilvl w:val="0"/>
          <w:numId w:val="1001"/>
        </w:numPr>
        <w:pStyle w:val="Compact"/>
      </w:pPr>
      <w:r>
        <w:t xml:space="preserve">Post-commissioning support and warranty period of twelve (12) months, with on-call response within 24 hours for critical failures.</w:t>
      </w:r>
    </w:p>
    <w:bookmarkEnd w:id="22"/>
    <w:bookmarkStart w:id="23" w:name="project-timeline"/>
    <w:p>
      <w:pPr>
        <w:pStyle w:val="Heading2"/>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Estimated Start</w:t>
            </w:r>
          </w:p>
        </w:tc>
      </w:tr>
      <w:tr>
        <w:tc>
          <w:tcPr/>
          <w:p>
            <w:pPr>
              <w:pStyle w:val="Compact"/>
              <w:jc w:val="left"/>
            </w:pPr>
            <w:r>
              <w:t xml:space="preserve">Phase 1</w:t>
            </w:r>
          </w:p>
        </w:tc>
        <w:tc>
          <w:tcPr/>
          <w:p>
            <w:pPr>
              <w:pStyle w:val="Compact"/>
              <w:jc w:val="left"/>
            </w:pPr>
            <w:r>
              <w:t xml:space="preserve">Site Assessment &amp; Feasibility (Buenos Aires)</w:t>
            </w:r>
          </w:p>
        </w:tc>
        <w:tc>
          <w:tcPr/>
          <w:p>
            <w:pPr>
              <w:pStyle w:val="Compact"/>
              <w:jc w:val="left"/>
            </w:pPr>
            <w:r>
              <w:t xml:space="preserve">2 weeks</w:t>
            </w:r>
          </w:p>
        </w:tc>
        <w:tc>
          <w:tcPr/>
          <w:p>
            <w:pPr>
              <w:pStyle w:val="Compact"/>
              <w:jc w:val="left"/>
            </w:pPr>
            <w:r>
              <w:t xml:space="preserve">July 1, 2025</w:t>
            </w:r>
          </w:p>
        </w:tc>
      </w:tr>
      <w:tr>
        <w:tc>
          <w:tcPr/>
          <w:p>
            <w:pPr>
              <w:pStyle w:val="Compact"/>
              <w:jc w:val="left"/>
            </w:pPr>
            <w:r>
              <w:t xml:space="preserve">Phase 2</w:t>
            </w:r>
          </w:p>
        </w:tc>
        <w:tc>
          <w:tcPr/>
          <w:p>
            <w:pPr>
              <w:pStyle w:val="Compact"/>
              <w:jc w:val="left"/>
            </w:pPr>
            <w:r>
              <w:t xml:space="preserve">System Design &amp; Engineering</w:t>
            </w:r>
          </w:p>
        </w:tc>
        <w:tc>
          <w:tcPr/>
          <w:p>
            <w:pPr>
              <w:pStyle w:val="Compact"/>
              <w:jc w:val="left"/>
            </w:pPr>
            <w:r>
              <w:t xml:space="preserve">4 weeks</w:t>
            </w:r>
          </w:p>
        </w:tc>
        <w:tc>
          <w:tcPr/>
          <w:p>
            <w:pPr>
              <w:pStyle w:val="Compact"/>
              <w:jc w:val="left"/>
            </w:pPr>
            <w:r>
              <w:t xml:space="preserve">July 15, 2025</w:t>
            </w:r>
          </w:p>
        </w:tc>
      </w:tr>
      <w:tr>
        <w:tc>
          <w:tcPr/>
          <w:p>
            <w:pPr>
              <w:pStyle w:val="Compact"/>
              <w:jc w:val="left"/>
            </w:pPr>
            <w:r>
              <w:t xml:space="preserve">Phase 3</w:t>
            </w:r>
          </w:p>
        </w:tc>
        <w:tc>
          <w:tcPr/>
          <w:p>
            <w:pPr>
              <w:pStyle w:val="Compact"/>
              <w:jc w:val="left"/>
            </w:pPr>
            <w:r>
              <w:t xml:space="preserve">Procurement &amp; Manufacturing</w:t>
            </w:r>
          </w:p>
        </w:tc>
        <w:tc>
          <w:tcPr/>
          <w:p>
            <w:pPr>
              <w:pStyle w:val="Compact"/>
              <w:jc w:val="left"/>
            </w:pPr>
            <w:r>
              <w:t xml:space="preserve">6 weeks</w:t>
            </w:r>
          </w:p>
        </w:tc>
        <w:tc>
          <w:tcPr/>
          <w:p>
            <w:pPr>
              <w:pStyle w:val="Compact"/>
              <w:jc w:val="left"/>
            </w:pPr>
            <w:r>
              <w:t xml:space="preserve">August 12, 2025</w:t>
            </w:r>
          </w:p>
        </w:tc>
      </w:tr>
      <w:tr>
        <w:tc>
          <w:tcPr/>
          <w:p>
            <w:pPr>
              <w:pStyle w:val="Compact"/>
              <w:jc w:val="left"/>
            </w:pPr>
            <w:r>
              <w:t xml:space="preserve">Phase 4</w:t>
            </w:r>
          </w:p>
        </w:tc>
        <w:tc>
          <w:tcPr/>
          <w:p>
            <w:pPr>
              <w:pStyle w:val="Compact"/>
              <w:jc w:val="left"/>
            </w:pPr>
            <w:r>
              <w:t xml:space="preserve">On-Site Installation &amp; Commissioning</w:t>
            </w:r>
          </w:p>
        </w:tc>
        <w:tc>
          <w:tcPr/>
          <w:p>
            <w:pPr>
              <w:pStyle w:val="Compact"/>
              <w:jc w:val="left"/>
            </w:pPr>
            <w:r>
              <w:t xml:space="preserve">3 weeks</w:t>
            </w:r>
          </w:p>
        </w:tc>
        <w:tc>
          <w:tcPr/>
          <w:p>
            <w:pPr>
              <w:pStyle w:val="Compact"/>
              <w:jc w:val="left"/>
            </w:pPr>
            <w:r>
              <w:t xml:space="preserve">September 22, 2025</w:t>
            </w:r>
          </w:p>
        </w:tc>
      </w:tr>
      <w:tr>
        <w:tc>
          <w:tcPr/>
          <w:p>
            <w:pPr>
              <w:pStyle w:val="Compact"/>
              <w:jc w:val="left"/>
            </w:pPr>
            <w:r>
              <w:t xml:space="preserve">Phase 5</w:t>
            </w:r>
          </w:p>
        </w:tc>
        <w:tc>
          <w:tcPr/>
          <w:p>
            <w:pPr>
              <w:pStyle w:val="Compact"/>
              <w:jc w:val="left"/>
            </w:pPr>
            <w:r>
              <w:t xml:space="preserve">Training &amp; Handover (Argentina Buenos Aires)</w:t>
            </w:r>
          </w:p>
        </w:tc>
        <w:tc>
          <w:tcPr/>
          <w:p>
            <w:pPr>
              <w:pStyle w:val="Compact"/>
              <w:jc w:val="left"/>
            </w:pPr>
            <w:r>
              <w:t xml:space="preserve">2 weeks</w:t>
            </w:r>
          </w:p>
        </w:tc>
        <w:tc>
          <w:tcPr/>
          <w:p>
            <w:pPr>
              <w:pStyle w:val="Compact"/>
              <w:jc w:val="left"/>
            </w:pPr>
            <w:r>
              <w:t xml:space="preserve">October 13, 2025</w:t>
            </w:r>
          </w:p>
        </w:tc>
      </w:tr>
    </w:tbl>
    <w:bookmarkEnd w:id="23"/>
    <w:bookmarkStart w:id="24" w:name="financial-breakdown-quotation-estimate"/>
    <w:p>
      <w:pPr>
        <w:pStyle w:val="Heading2"/>
      </w:pPr>
      <w:r>
        <w:t xml:space="preserve">4. Financial Breakdown – Quotation Estimate</w:t>
      </w:r>
    </w:p>
    <w:p>
      <w:pPr>
        <w:pStyle w:val="FirstParagraph"/>
      </w:pPr>
      <w:r>
        <w:t xml:space="preserve">The following</w:t>
      </w:r>
      <w:r>
        <w:t xml:space="preserve"> </w:t>
      </w:r>
      <w:r>
        <w:t xml:space="preserve">Quotation Estimate</w:t>
      </w:r>
      <w:r>
        <w:t xml:space="preserve"> </w:t>
      </w:r>
      <w:r>
        <w:t xml:space="preserve">outlines all costs associated with the</w:t>
      </w:r>
      <w:r>
        <w:t xml:space="preserve"> </w:t>
      </w:r>
      <w:r>
        <w:t xml:space="preserve">Robotics Engineer</w:t>
      </w:r>
      <w:r>
        <w:t xml:space="preserve"> </w:t>
      </w:r>
      <w:r>
        <w:t xml:space="preserve">engagement in</w:t>
      </w:r>
      <w:r>
        <w:t xml:space="preserve"> </w:t>
      </w:r>
      <w:r>
        <w:t xml:space="preserve">Argentina Buenos Aires</w:t>
      </w:r>
      <w:r>
        <w:t xml:space="preserve">. All amounts are expressed in Argentine Pesos (ARS) unless otherwise stated. Applicable VAT (IVA 21%) is included in the final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Site Assessment &amp; Feasibility Study – Robotics Engineer on-site (Buenos Aires)</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System Design, CAD Modeling &amp; Engineering Documentation</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PLC Programming, HMI Development &amp; Software Licensing</w:t>
            </w:r>
          </w:p>
        </w:tc>
        <w:tc>
          <w:tcPr/>
          <w:p>
            <w:pPr>
              <w:pStyle w:val="Compact"/>
              <w:jc w:val="left"/>
            </w:pPr>
            <w:r>
              <w:t xml:space="preserve">295,000</w:t>
            </w:r>
          </w:p>
        </w:tc>
      </w:tr>
      <w:tr>
        <w:tc>
          <w:tcPr/>
          <w:p>
            <w:pPr>
              <w:pStyle w:val="Compact"/>
              <w:jc w:val="left"/>
            </w:pPr>
            <w:r>
              <w:t xml:space="preserve">4</w:t>
            </w:r>
          </w:p>
        </w:tc>
        <w:tc>
          <w:tcPr/>
          <w:p>
            <w:pPr>
              <w:pStyle w:val="Compact"/>
              <w:jc w:val="left"/>
            </w:pPr>
            <w:r>
              <w:t xml:space="preserve">Robotic Arm Hardware (6-axis, 12 kg payload) &amp; End-of-Arm Tooling</w:t>
            </w:r>
          </w:p>
        </w:tc>
        <w:tc>
          <w:tcPr/>
          <w:p>
            <w:pPr>
              <w:pStyle w:val="Compact"/>
              <w:jc w:val="left"/>
            </w:pPr>
            <w:r>
              <w:t xml:space="preserve">3,850,000</w:t>
            </w:r>
          </w:p>
        </w:tc>
      </w:tr>
      <w:tr>
        <w:tc>
          <w:tcPr/>
          <w:p>
            <w:pPr>
              <w:pStyle w:val="Compact"/>
              <w:jc w:val="left"/>
            </w:pPr>
            <w:r>
              <w:t xml:space="preserve">5</w:t>
            </w:r>
          </w:p>
        </w:tc>
        <w:tc>
          <w:tcPr/>
          <w:p>
            <w:pPr>
              <w:pStyle w:val="Compact"/>
              <w:jc w:val="left"/>
            </w:pPr>
            <w:r>
              <w:t xml:space="preserve">On-Site Installation, Calibration &amp; Commissioning (Argentina Buenos Aires)</w:t>
            </w:r>
          </w:p>
        </w:tc>
        <w:tc>
          <w:tcPr/>
          <w:p>
            <w:pPr>
              <w:pStyle w:val="Compact"/>
              <w:jc w:val="left"/>
            </w:pPr>
            <w:r>
              <w:t xml:space="preserve">310,000</w:t>
            </w:r>
          </w:p>
        </w:tc>
      </w:tr>
      <w:tr>
        <w:tc>
          <w:tcPr/>
          <w:p>
            <w:pPr>
              <w:pStyle w:val="Compact"/>
              <w:jc w:val="left"/>
            </w:pPr>
            <w:r>
              <w:t xml:space="preserve">6</w:t>
            </w:r>
          </w:p>
        </w:tc>
        <w:tc>
          <w:tcPr/>
          <w:p>
            <w:pPr>
              <w:pStyle w:val="Compact"/>
              <w:jc w:val="left"/>
            </w:pPr>
            <w:r>
              <w:t xml:space="preserve">Operator Training Program (40 hours, 8 personnel)</w:t>
            </w:r>
          </w:p>
        </w:tc>
        <w:tc>
          <w:tcPr/>
          <w:p>
            <w:pPr>
              <w:pStyle w:val="Compact"/>
              <w:jc w:val="left"/>
            </w:pPr>
            <w:r>
              <w:t xml:space="preserve">145,000</w:t>
            </w:r>
          </w:p>
        </w:tc>
      </w:tr>
      <w:tr>
        <w:tc>
          <w:tcPr/>
          <w:p>
            <w:pPr>
              <w:pStyle w:val="Compact"/>
              <w:jc w:val="left"/>
            </w:pPr>
            <w:r>
              <w:t xml:space="preserve">7</w:t>
            </w:r>
          </w:p>
        </w:tc>
        <w:tc>
          <w:tcPr/>
          <w:p>
            <w:pPr>
              <w:pStyle w:val="Compact"/>
              <w:jc w:val="left"/>
            </w:pPr>
            <w:r>
              <w:t xml:space="preserve">Technical Documentation &amp; Safety Risk Assessment</w:t>
            </w:r>
          </w:p>
        </w:tc>
        <w:tc>
          <w:tcPr/>
          <w:p>
            <w:pPr>
              <w:pStyle w:val="Compact"/>
              <w:jc w:val="left"/>
            </w:pPr>
            <w:r>
              <w:t xml:space="preserve">95,000</w:t>
            </w:r>
          </w:p>
        </w:tc>
      </w:tr>
      <w:tr>
        <w:tc>
          <w:tcPr/>
          <w:p>
            <w:pPr>
              <w:pStyle w:val="Compact"/>
              <w:jc w:val="left"/>
            </w:pPr>
            <w:r>
              <w:t xml:space="preserve">8</w:t>
            </w:r>
          </w:p>
        </w:tc>
        <w:tc>
          <w:tcPr/>
          <w:p>
            <w:pPr>
              <w:pStyle w:val="Compact"/>
              <w:jc w:val="left"/>
            </w:pPr>
            <w:r>
              <w:t xml:space="preserve">12-Month Post-Commissioning Support &amp; Warranty</w:t>
            </w:r>
          </w:p>
        </w:tc>
        <w:tc>
          <w:tcPr/>
          <w:p>
            <w:pPr>
              <w:pStyle w:val="Compact"/>
              <w:jc w:val="left"/>
            </w:pPr>
            <w:r>
              <w:t xml:space="preserve">220,000</w:t>
            </w:r>
          </w:p>
        </w:tc>
      </w:tr>
      <w:tr>
        <w:tc>
          <w:tcPr/>
          <w:p>
            <w:pPr>
              <w:pStyle w:val="Compact"/>
              <w:jc w:val="left"/>
            </w:pPr>
            <w:r>
              <w:t xml:space="preserve">9</w:t>
            </w:r>
          </w:p>
        </w:tc>
        <w:tc>
          <w:tcPr/>
          <w:p>
            <w:pPr>
              <w:pStyle w:val="Compact"/>
              <w:jc w:val="left"/>
            </w:pPr>
            <w:r>
              <w:t xml:space="preserve">Travel, Accommodation &amp; Logistics (Buenos Aires Metro Area)</w:t>
            </w:r>
          </w:p>
        </w:tc>
        <w:tc>
          <w:tcPr/>
          <w:p>
            <w:pPr>
              <w:pStyle w:val="Compact"/>
              <w:jc w:val="left"/>
            </w:pPr>
            <w:r>
              <w:t xml:space="preserve">78,000</w:t>
            </w:r>
          </w:p>
        </w:tc>
      </w:tr>
      <w:tr>
        <w:tc>
          <w:tcPr>
            <w:gridSpan w:val="2"/>
          </w:tcPr>
          <w:p>
            <w:pPr>
              <w:pStyle w:val="Compact"/>
              <w:jc w:val="left"/>
            </w:pPr>
            <w:r>
              <w:t xml:space="preserve">Subtotal (before IVA)</w:t>
            </w:r>
          </w:p>
        </w:tc>
        <w:tc>
          <w:tcPr/>
          <w:p>
            <w:pPr>
              <w:pStyle w:val="Compact"/>
              <w:jc w:val="left"/>
            </w:pPr>
            <w:r>
              <w:t xml:space="preserve">5,598,000</w:t>
            </w:r>
          </w:p>
        </w:tc>
      </w:tr>
      <w:tr>
        <w:tc>
          <w:tcPr>
            <w:gridSpan w:val="2"/>
          </w:tcPr>
          <w:p>
            <w:pPr>
              <w:pStyle w:val="Compact"/>
              <w:jc w:val="left"/>
            </w:pPr>
            <w:r>
              <w:t xml:space="preserve">IVA (21%)</w:t>
            </w:r>
          </w:p>
        </w:tc>
        <w:tc>
          <w:tcPr/>
          <w:p>
            <w:pPr>
              <w:pStyle w:val="Compact"/>
              <w:jc w:val="left"/>
            </w:pPr>
            <w:r>
              <w:t xml:space="preserve">1,175,580</w:t>
            </w:r>
          </w:p>
        </w:tc>
      </w:tr>
      <w:tr>
        <w:tc>
          <w:tcPr>
            <w:gridSpan w:val="2"/>
          </w:tcPr>
          <w:p>
            <w:pPr>
              <w:pStyle w:val="Compact"/>
              <w:jc w:val="left"/>
            </w:pPr>
            <w:r>
              <w:t xml:space="preserve">TOTAL – Quotation Estimate (ARS)</w:t>
            </w:r>
          </w:p>
        </w:tc>
        <w:tc>
          <w:tcPr/>
          <w:p>
            <w:pPr>
              <w:pStyle w:val="Compact"/>
              <w:jc w:val="left"/>
            </w:pPr>
            <w:r>
              <w:t xml:space="preserve">6,773,580</w:t>
            </w:r>
          </w:p>
        </w:tc>
      </w:tr>
    </w:tbl>
    <w:p>
      <w:pPr>
        <w:pStyle w:val="BodyText"/>
      </w:pPr>
      <w:r>
        <w:t xml:space="preserve">* Hardware costs (Item 4) are subject to a 5% tolerance due to international component pricing fluctuations. The final</w:t>
      </w:r>
      <w:r>
        <w:t xml:space="preserve"> </w:t>
      </w:r>
      <w:r>
        <w:t xml:space="preserve">Quotation Estimate</w:t>
      </w:r>
      <w:r>
        <w:t xml:space="preserve"> </w:t>
      </w:r>
      <w:r>
        <w:t xml:space="preserve">will be adjusted accordingly upon procurement confirmation.</w:t>
      </w:r>
    </w:p>
    <w:bookmarkEnd w:id="24"/>
    <w:bookmarkStart w:id="25" w:name="payment-terms"/>
    <w:p>
      <w:pPr>
        <w:pStyle w:val="Heading2"/>
      </w:pPr>
      <w:r>
        <w:t xml:space="preserve">5. Payment Terms</w:t>
      </w:r>
    </w:p>
    <w:p>
      <w:pPr>
        <w:numPr>
          <w:ilvl w:val="0"/>
          <w:numId w:val="1002"/>
        </w:numPr>
        <w:pStyle w:val="Compact"/>
      </w:pPr>
      <w:r>
        <w:t xml:space="preserve">30% advance payment upon acceptance of this</w:t>
      </w:r>
      <w:r>
        <w:t xml:space="preserve"> </w:t>
      </w:r>
      <w:r>
        <w:t xml:space="preserve">Quotation Estimate</w:t>
      </w:r>
      <w:r>
        <w:t xml:space="preserve"> </w:t>
      </w:r>
      <w:r>
        <w:t xml:space="preserve">and execution of the service contract.</w:t>
      </w:r>
    </w:p>
    <w:p>
      <w:pPr>
        <w:numPr>
          <w:ilvl w:val="0"/>
          <w:numId w:val="1002"/>
        </w:numPr>
        <w:pStyle w:val="Compact"/>
      </w:pPr>
      <w:r>
        <w:t xml:space="preserve">40% upon completion of Phase 3 (hardware delivery to the Buenos Aires site).</w:t>
      </w:r>
    </w:p>
    <w:p>
      <w:pPr>
        <w:numPr>
          <w:ilvl w:val="0"/>
          <w:numId w:val="1002"/>
        </w:numPr>
        <w:pStyle w:val="Compact"/>
      </w:pPr>
      <w:r>
        <w:t xml:space="preserve">20% upon successful commissioning and sign-off by the client's operations team.</w:t>
      </w:r>
    </w:p>
    <w:p>
      <w:pPr>
        <w:numPr>
          <w:ilvl w:val="0"/>
          <w:numId w:val="1002"/>
        </w:numPr>
        <w:pStyle w:val="Compact"/>
      </w:pPr>
      <w:r>
        <w:t xml:space="preserve">10% upon completion of the training program and final handover in Argentina Buenos Aires.</w:t>
      </w:r>
    </w:p>
    <w:p>
      <w:pPr>
        <w:pStyle w:val="FirstParagraph"/>
      </w:pPr>
      <w:r>
        <w:t xml:space="preserve">Payments shall be made via bank transfer to the account specified in the contract. Late payments will accrue interest at the rate established by the Banco Central de la República Argentina (BCRA) for overdue commercial obligations.</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revised to reflect market conditions in Argentina Buenos Aires.</w:t>
      </w:r>
    </w:p>
    <w:p>
      <w:pPr>
        <w:numPr>
          <w:ilvl w:val="0"/>
          <w:numId w:val="1003"/>
        </w:numPr>
        <w:pStyle w:val="Compact"/>
      </w:pPr>
      <w:r>
        <w:t xml:space="preserve">The</w:t>
      </w:r>
      <w:r>
        <w:t xml:space="preserve"> </w:t>
      </w:r>
      <w:r>
        <w:t xml:space="preserve">Robotics Engineer</w:t>
      </w:r>
      <w:r>
        <w:t xml:space="preserve"> </w:t>
      </w:r>
      <w:r>
        <w:t xml:space="preserve">reserves the right to modify the technical scope if site conditions differ materially from the initial assessment. Any such modifications will be documented in a formal change order and re-quoted prior to implementation.</w:t>
      </w:r>
    </w:p>
    <w:p>
      <w:pPr>
        <w:numPr>
          <w:ilvl w:val="0"/>
          <w:numId w:val="1003"/>
        </w:numPr>
        <w:pStyle w:val="Compact"/>
      </w:pPr>
      <w:r>
        <w:t xml:space="preserve">All intellectual property generated during the design and programming phases shall belong to the client upon full payment. The</w:t>
      </w:r>
      <w:r>
        <w:t xml:space="preserve"> </w:t>
      </w:r>
      <w:r>
        <w:t xml:space="preserve">Robotics Engineer</w:t>
      </w:r>
      <w:r>
        <w:t xml:space="preserve"> </w:t>
      </w:r>
      <w:r>
        <w:t xml:space="preserve">retains the right to reference the project in a professional portfolio with the client's written consent.</w:t>
      </w:r>
    </w:p>
    <w:p>
      <w:pPr>
        <w:numPr>
          <w:ilvl w:val="0"/>
          <w:numId w:val="1003"/>
        </w:numPr>
        <w:pStyle w:val="Compact"/>
      </w:pPr>
      <w:r>
        <w:t xml:space="preserve">Liability under this</w:t>
      </w:r>
      <w:r>
        <w:t xml:space="preserve"> </w:t>
      </w:r>
      <w:r>
        <w:t xml:space="preserve">Quotation Estimate</w:t>
      </w:r>
      <w:r>
        <w:t xml:space="preserve"> </w:t>
      </w:r>
      <w:r>
        <w:t xml:space="preserve">is capped at the total contract value. The</w:t>
      </w:r>
      <w:r>
        <w:t xml:space="preserve"> </w:t>
      </w:r>
      <w:r>
        <w:t xml:space="preserve">Robotics Engineer</w:t>
      </w:r>
      <w:r>
        <w:t xml:space="preserve"> </w:t>
      </w:r>
      <w:r>
        <w:t xml:space="preserve">shall not be liable for indirect, consequential, or punitive damages arising from the use of the delivered system.</w:t>
      </w:r>
    </w:p>
    <w:p>
      <w:pPr>
        <w:numPr>
          <w:ilvl w:val="0"/>
          <w:numId w:val="1003"/>
        </w:numPr>
        <w:pStyle w:val="Compact"/>
      </w:pPr>
      <w:r>
        <w:t xml:space="preserve">This agreement is governed by the laws of the Argentine Republic, with jurisdiction vested in the commercial courts of the City of Buenos Aires, Argentina.</w:t>
      </w:r>
    </w:p>
    <w:p>
      <w:pPr>
        <w:numPr>
          <w:ilvl w:val="0"/>
          <w:numId w:val="1003"/>
        </w:numPr>
        <w:pStyle w:val="Compact"/>
      </w:pPr>
      <w:r>
        <w:t xml:space="preserve">Force majeure events, including but not limited to natural disasters, government-mandated shutdowns, or supply chain disruptions affecting the Buenos Aires metropolitan region, shall extend the project timeline proportionally without penalty to either party.</w:t>
      </w:r>
    </w:p>
    <w:p>
      <w:pPr>
        <w:numPr>
          <w:ilvl w:val="0"/>
          <w:numId w:val="1003"/>
        </w:numPr>
        <w:pStyle w:val="Compact"/>
      </w:pPr>
      <w:r>
        <w:t xml:space="preserve">The</w:t>
      </w:r>
      <w:r>
        <w:t xml:space="preserve"> </w:t>
      </w:r>
      <w:r>
        <w:t xml:space="preserve">Robotics Engineer</w:t>
      </w:r>
      <w:r>
        <w:t xml:space="preserve"> </w:t>
      </w:r>
      <w:r>
        <w:t xml:space="preserve">shall maintain professional liability insurance with a minimum coverage of ARS 10,000,000 for the duration of the project in Argentina Buenos Aires.</w:t>
      </w:r>
    </w:p>
    <w:bookmarkEnd w:id="26"/>
    <w:bookmarkStart w:id="27"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Robotics Engineer</w:t>
      </w:r>
      <w:r>
        <w:t xml:space="preserve"> </w:t>
      </w:r>
      <w:r>
        <w:t xml:space="preserve">services in</w:t>
      </w:r>
      <w:r>
        <w:t xml:space="preserve"> </w:t>
      </w:r>
      <w:r>
        <w:t xml:space="preserve">Argentina Buenos Aires</w:t>
      </w:r>
      <w:r>
        <w:t xml:space="preserve"> </w:t>
      </w:r>
      <w:r>
        <w:t xml:space="preserve">and agrees to the terms, conditions, and financial obligations outlined herein. This acceptance constitutes a binding commitment to proceed with the project as described.</w:t>
      </w:r>
    </w:p>
    <w:bookmarkEnd w:id="27"/>
    <w:p>
      <w:pPr>
        <w:pStyle w:val="BodyText"/>
      </w:pPr>
      <w:r>
        <w:rPr>
          <w:bCs/>
          <w:b/>
        </w:rPr>
        <w:t xml:space="preserve">For the Client</w:t>
      </w:r>
      <w:r>
        <w:br/>
      </w:r>
      <w:r>
        <w:t xml:space="preserve">Industrias Tecnológicas del Sur S.A.</w:t>
      </w:r>
      <w:r>
        <w:br/>
      </w:r>
      <w:r>
        <w:t xml:space="preserve">Name / Signature / Date</w:t>
      </w:r>
    </w:p>
    <w:p>
      <w:pPr>
        <w:pStyle w:val="BodyText"/>
      </w:pPr>
      <w:r>
        <w:rPr>
          <w:bCs/>
          <w:b/>
        </w:rPr>
        <w:t xml:space="preserve">For the Robotics Engineer</w:t>
      </w:r>
      <w:r>
        <w:br/>
      </w:r>
      <w:r>
        <w:t xml:space="preserve">Ing. Marcos E. Villanueva</w:t>
      </w:r>
      <w:r>
        <w:br/>
      </w:r>
      <w:r>
        <w:t xml:space="preserve">Name / Signature / Date</w:t>
      </w:r>
    </w:p>
    <w:p>
      <w:pPr>
        <w:pStyle w:val="BodyText"/>
      </w:pPr>
      <w:r>
        <w:t xml:space="preserve">Quotation Estimate QTE-BA-2025-0472 | Robotics Engineer Services | Argentina Buenos Aires</w:t>
      </w:r>
      <w:r>
        <w:br/>
      </w:r>
      <w:r>
        <w:t xml:space="preserve">This document is confidential and intended solely for the named recipient. Unauthorized reproduction or distribution is prohibited.</w:t>
      </w:r>
      <w:r>
        <w:br/>
      </w:r>
      <w:r>
        <w:t xml:space="preserve">© 2025 Villanueva Robotics Engineering S.R.L. – Buenos Aires, Argentina.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Argentina Buenos Aires</dc:title>
  <dc:creator/>
  <dc:language>en</dc:language>
  <cp:keywords/>
  <dcterms:created xsi:type="dcterms:W3CDTF">2026-10-10T03:08:07Z</dcterms:created>
  <dcterms:modified xsi:type="dcterms:W3CDTF">2026-10-10T03:08:07Z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