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Robotics Engineering Services — Germany Frankfurt</w:t>
      </w:r>
    </w:p>
    <w:p>
      <w:pPr>
        <w:pStyle w:val="BodyText"/>
      </w:pPr>
      <w:r>
        <w:t xml:space="preserve">Ref: QE-2025-FRA-0847 | Issued by: TechBridge Engineering Solutions GmbH</w:t>
      </w:r>
    </w:p>
    <w:bookmarkEnd w:id="20"/>
    <w:p>
      <w:pPr>
        <w:pStyle w:val="BodyText"/>
      </w:pPr>
      <w:r>
        <w:rPr>
          <w:bCs/>
          <w:b/>
        </w:rPr>
        <w:t xml:space="preserve">Quotation Estimate No.:</w:t>
      </w:r>
      <w:r>
        <w:t xml:space="preserve"> </w:t>
      </w:r>
      <w:r>
        <w:t xml:space="preserve">QE-2025-FRA-0847</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For:</w:t>
      </w:r>
      <w:r>
        <w:t xml:space="preserve"> </w:t>
      </w:r>
      <w:r>
        <w:rPr>
          <w:bCs/>
          <w:b/>
        </w:rPr>
        <w:t xml:space="preserve">Client Name:</w:t>
      </w:r>
      <w:r>
        <w:t xml:space="preserve"> </w:t>
      </w:r>
      <w:r>
        <w:t xml:space="preserve">[Client Company Name]</w:t>
      </w:r>
      <w:r>
        <w:t xml:space="preserve"> </w:t>
      </w:r>
      <w:r>
        <w:rPr>
          <w:bCs/>
          <w:b/>
        </w:rPr>
        <w:t xml:space="preserve">Address:</w:t>
      </w:r>
      <w:r>
        <w:t xml:space="preserve"> </w:t>
      </w:r>
      <w:r>
        <w:t xml:space="preserve">[Street, Postal Code], Frankfurt am Main, Germany</w:t>
      </w:r>
      <w:r>
        <w:t xml:space="preserve"> </w:t>
      </w:r>
      <w:r>
        <w:rPr>
          <w:bCs/>
          <w:b/>
        </w:rPr>
        <w:t xml:space="preserve">Contact:</w:t>
      </w:r>
      <w:r>
        <w:t xml:space="preserve"> </w:t>
      </w:r>
      <w:r>
        <w:t xml:space="preserve">[Contact Person /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TechBridge Engineering Solutions GmbH to provide a comprehensive cost breakdown for the engagement of a senior</w:t>
      </w:r>
      <w:r>
        <w:t xml:space="preserve"> </w:t>
      </w:r>
      <w:r>
        <w:t xml:space="preserve">Robotics Engineer</w:t>
      </w:r>
      <w:r>
        <w:t xml:space="preserve"> </w:t>
      </w:r>
      <w:r>
        <w:t xml:space="preserve">to be deployed and operational within the</w:t>
      </w:r>
      <w:r>
        <w:t xml:space="preserve"> </w:t>
      </w:r>
      <w:r>
        <w:t xml:space="preserve">Germany Frankfurt</w:t>
      </w:r>
      <w:r>
        <w:t xml:space="preserve"> </w:t>
      </w:r>
      <w:r>
        <w:t xml:space="preserve">metropolitan area. The purpose of this document is to outline the professional services, deliverables, associated costs, and contractual terms governing the assignment. All pricing presented herein reflects current market rates for qualified robotics engineering talent in the Frankfurt financial and industrial corridor, taking into account the specific regulatory, linguistic, and technical requirements of operating in Germany Frankfurt.</w:t>
      </w:r>
    </w:p>
    <w:p>
      <w:pPr>
        <w:pStyle w:val="BodyText"/>
      </w:pPr>
      <w:r>
        <w:t xml:space="preserve">The</w:t>
      </w:r>
      <w:r>
        <w:t xml:space="preserve"> </w:t>
      </w:r>
      <w:r>
        <w:t xml:space="preserve">Robotics Engineer</w:t>
      </w:r>
      <w:r>
        <w:t xml:space="preserve"> </w:t>
      </w:r>
      <w:r>
        <w:t xml:space="preserve">referenced in this Quotation Estimate will be responsible for the design, development, integration, testing, and maintenance of industrial and service robotics systems. The role encompasses mechanical design, embedded systems programming, control algorithm development, sensor fusion, and end-to-end system commissioning. The candidate will operate out of the client's facility located in Germany Frankfurt and will be subject to German labor law, social security contributions, and applicable industry standards (DIN, VDI, ISO).</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Robotics Engineer — Full-time engagement (mechanical design, control systems, PLC/SCADA integration)</w:t>
            </w:r>
          </w:p>
        </w:tc>
        <w:tc>
          <w:tcPr/>
          <w:p>
            <w:pPr>
              <w:pStyle w:val="Compact"/>
              <w:jc w:val="left"/>
            </w:pPr>
            <w:r>
              <w:t xml:space="preserve">12 months</w:t>
            </w:r>
          </w:p>
        </w:tc>
        <w:tc>
          <w:tcPr/>
          <w:p>
            <w:pPr>
              <w:pStyle w:val="Compact"/>
              <w:jc w:val="left"/>
            </w:pPr>
            <w:r>
              <w:t xml:space="preserve">€95,000 / yr</w:t>
            </w:r>
          </w:p>
        </w:tc>
        <w:tc>
          <w:tcPr/>
          <w:p>
            <w:pPr>
              <w:pStyle w:val="Compact"/>
              <w:jc w:val="left"/>
            </w:pPr>
            <w:r>
              <w:t xml:space="preserve">€95,000.00</w:t>
            </w:r>
          </w:p>
        </w:tc>
      </w:tr>
      <w:tr>
        <w:tc>
          <w:tcPr/>
          <w:p>
            <w:pPr>
              <w:pStyle w:val="Compact"/>
              <w:jc w:val="left"/>
            </w:pPr>
            <w:r>
              <w:t xml:space="preserve">2</w:t>
            </w:r>
          </w:p>
        </w:tc>
        <w:tc>
          <w:tcPr/>
          <w:p>
            <w:pPr>
              <w:pStyle w:val="Compact"/>
              <w:jc w:val="left"/>
            </w:pPr>
            <w:r>
              <w:t xml:space="preserve">Robotics Engineer — On-site commissioning and system integration in Germany Frankfurt facility</w:t>
            </w:r>
          </w:p>
        </w:tc>
        <w:tc>
          <w:tcPr/>
          <w:p>
            <w:pPr>
              <w:pStyle w:val="Compact"/>
              <w:jc w:val="left"/>
            </w:pPr>
            <w:r>
              <w:t xml:space="preserve">3 months</w:t>
            </w:r>
          </w:p>
        </w:tc>
        <w:tc>
          <w:tcPr/>
          <w:p>
            <w:pPr>
              <w:pStyle w:val="Compact"/>
              <w:jc w:val="left"/>
            </w:pPr>
            <w:r>
              <w:t xml:space="preserve">€12,500 / mo</w:t>
            </w:r>
          </w:p>
        </w:tc>
        <w:tc>
          <w:tcPr/>
          <w:p>
            <w:pPr>
              <w:pStyle w:val="Compact"/>
              <w:jc w:val="left"/>
            </w:pPr>
            <w:r>
              <w:t xml:space="preserve">€37,500.00</w:t>
            </w:r>
          </w:p>
        </w:tc>
      </w:tr>
      <w:tr>
        <w:tc>
          <w:tcPr/>
          <w:p>
            <w:pPr>
              <w:pStyle w:val="Compact"/>
              <w:jc w:val="left"/>
            </w:pPr>
            <w:r>
              <w:t xml:space="preserve">3</w:t>
            </w:r>
          </w:p>
        </w:tc>
        <w:tc>
          <w:tcPr/>
          <w:p>
            <w:pPr>
              <w:pStyle w:val="Compact"/>
              <w:jc w:val="left"/>
            </w:pPr>
            <w:r>
              <w:t xml:space="preserve">Technical documentation, CAD drawings, and control logic handover package</w:t>
            </w:r>
          </w:p>
        </w:tc>
        <w:tc>
          <w:tcPr/>
          <w:p>
            <w:pPr>
              <w:pStyle w:val="Compact"/>
              <w:jc w:val="left"/>
            </w:pPr>
            <w:r>
              <w:t xml:space="preserve">One-time</w:t>
            </w:r>
          </w:p>
        </w:tc>
        <w:tc>
          <w:tcPr/>
          <w:p>
            <w:pPr>
              <w:pStyle w:val="Compact"/>
              <w:jc w:val="left"/>
            </w:pPr>
            <w:r>
              <w:t xml:space="preserve">€8,200</w:t>
            </w:r>
          </w:p>
        </w:tc>
        <w:tc>
          <w:tcPr/>
          <w:p>
            <w:pPr>
              <w:pStyle w:val="Compact"/>
              <w:jc w:val="left"/>
            </w:pPr>
            <w:r>
              <w:t xml:space="preserve">€8,200.00</w:t>
            </w:r>
          </w:p>
        </w:tc>
      </w:tr>
      <w:tr>
        <w:tc>
          <w:tcPr/>
          <w:p>
            <w:pPr>
              <w:pStyle w:val="Compact"/>
              <w:jc w:val="left"/>
            </w:pPr>
            <w:r>
              <w:t xml:space="preserve">4</w:t>
            </w:r>
          </w:p>
        </w:tc>
        <w:tc>
          <w:tcPr/>
          <w:p>
            <w:pPr>
              <w:pStyle w:val="Compact"/>
              <w:jc w:val="left"/>
            </w:pPr>
            <w:r>
              <w:t xml:space="preserve">Compliance review — German Machinery Directive (2006/42/EC), CE marking support, and VDI 3661 adherence</w:t>
            </w:r>
          </w:p>
        </w:tc>
        <w:tc>
          <w:tcPr/>
          <w:p>
            <w:pPr>
              <w:pStyle w:val="Compact"/>
              <w:jc w:val="left"/>
            </w:pPr>
            <w:r>
              <w:t xml:space="preserve">One-time</w:t>
            </w:r>
          </w:p>
        </w:tc>
        <w:tc>
          <w:tcPr/>
          <w:p>
            <w:pPr>
              <w:pStyle w:val="Compact"/>
              <w:jc w:val="left"/>
            </w:pPr>
            <w:r>
              <w:t xml:space="preserve">€6,500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Training and knowledge transfer sessions for in-house Germany Frankfurt staff (4 sessions)</w:t>
            </w:r>
          </w:p>
        </w:tc>
        <w:tc>
          <w:tcPr/>
          <w:p>
            <w:pPr>
              <w:pStyle w:val="Compact"/>
              <w:jc w:val="left"/>
            </w:pPr>
            <w:r>
              <w:t xml:space="preserve">4 days</w:t>
            </w:r>
          </w:p>
        </w:tc>
        <w:tc>
          <w:tcPr/>
          <w:p>
            <w:pPr>
              <w:pStyle w:val="Compact"/>
              <w:jc w:val="left"/>
            </w:pPr>
            <w:r>
              <w:t xml:space="preserve">€2,800 / day</w:t>
            </w:r>
          </w:p>
        </w:tc>
        <w:tc>
          <w:tcPr/>
          <w:p>
            <w:pPr>
              <w:pStyle w:val="Compact"/>
              <w:jc w:val="left"/>
            </w:pPr>
            <w:r>
              <w:t xml:space="preserve">€11,200.00</w:t>
            </w:r>
          </w:p>
        </w:tc>
      </w:tr>
      <w:tr>
        <w:tc>
          <w:tcPr/>
          <w:p>
            <w:pPr>
              <w:pStyle w:val="Compact"/>
              <w:jc w:val="left"/>
            </w:pPr>
            <w:r>
              <w:t xml:space="preserve">6</w:t>
            </w:r>
          </w:p>
        </w:tc>
        <w:tc>
          <w:tcPr/>
          <w:p>
            <w:pPr>
              <w:pStyle w:val="Compact"/>
              <w:jc w:val="left"/>
            </w:pPr>
            <w:r>
              <w:t xml:space="preserve">Post-deployment support and remote troubleshooting (12-month warranty period)</w:t>
            </w:r>
          </w:p>
        </w:tc>
        <w:tc>
          <w:tcPr/>
          <w:p>
            <w:pPr>
              <w:pStyle w:val="Compact"/>
              <w:jc w:val="left"/>
            </w:pPr>
            <w:r>
              <w:t xml:space="preserve">12 months</w:t>
            </w:r>
          </w:p>
        </w:tc>
        <w:tc>
          <w:tcPr/>
          <w:p>
            <w:pPr>
              <w:pStyle w:val="Compact"/>
              <w:jc w:val="left"/>
            </w:pPr>
            <w:r>
              <w:t xml:space="preserve">€4,000 / yr</w:t>
            </w:r>
          </w:p>
        </w:tc>
        <w:tc>
          <w:tcPr/>
          <w:p>
            <w:pPr>
              <w:pStyle w:val="Compact"/>
              <w:jc w:val="left"/>
            </w:pPr>
            <w:r>
              <w:t xml:space="preserve">€4,000.00</w:t>
            </w:r>
          </w:p>
        </w:tc>
      </w:tr>
      <w:tr>
        <w:tc>
          <w:tcPr/>
          <w:p>
            <w:pPr>
              <w:pStyle w:val="Compact"/>
              <w:jc w:val="left"/>
            </w:pPr>
            <w:r>
              <w:t xml:space="preserve">7</w:t>
            </w:r>
          </w:p>
        </w:tc>
        <w:tc>
          <w:tcPr/>
          <w:p>
            <w:pPr>
              <w:pStyle w:val="Compact"/>
              <w:jc w:val="left"/>
            </w:pPr>
            <w:r>
              <w:t xml:space="preserve">Travel, accommodation, and local transportation within Germany Frankfurt and surrounding Hesse region</w:t>
            </w:r>
          </w:p>
        </w:tc>
        <w:tc>
          <w:tcPr/>
          <w:p>
            <w:pPr>
              <w:pStyle w:val="Compact"/>
              <w:jc w:val="left"/>
            </w:pPr>
            <w:r>
              <w:t xml:space="preserve">12 months</w:t>
            </w:r>
          </w:p>
        </w:tc>
        <w:tc>
          <w:tcPr/>
          <w:p>
            <w:pPr>
              <w:pStyle w:val="Compact"/>
              <w:jc w:val="left"/>
            </w:pPr>
            <w:r>
              <w:t xml:space="preserve">€3,500 / yr</w:t>
            </w:r>
          </w:p>
        </w:tc>
        <w:tc>
          <w:tcPr/>
          <w:p>
            <w:pPr>
              <w:pStyle w:val="Compact"/>
              <w:jc w:val="left"/>
            </w:pPr>
            <w:r>
              <w:t xml:space="preserve">€3,500.00</w:t>
            </w:r>
          </w:p>
        </w:tc>
      </w:tr>
      <w:tr>
        <w:tc>
          <w:tcPr>
            <w:gridSpan w:val="4"/>
          </w:tcPr>
          <w:p>
            <w:pPr>
              <w:pStyle w:val="Compact"/>
              <w:jc w:val="right"/>
            </w:pPr>
            <w:r>
              <w:t xml:space="preserve">Subtotal (excl. VAT):</w:t>
            </w:r>
          </w:p>
        </w:tc>
        <w:tc>
          <w:tcPr/>
          <w:p>
            <w:pPr>
              <w:pStyle w:val="Compact"/>
              <w:jc w:val="left"/>
            </w:pPr>
            <w:r>
              <w:t xml:space="preserve">€165,900.00</w:t>
            </w:r>
          </w:p>
        </w:tc>
      </w:tr>
      <w:tr>
        <w:tc>
          <w:tcPr>
            <w:gridSpan w:val="4"/>
          </w:tcPr>
          <w:p>
            <w:pPr>
              <w:pStyle w:val="Compact"/>
              <w:jc w:val="right"/>
            </w:pPr>
            <w:r>
              <w:t xml:space="preserve">VAT (19% — German standard rate):</w:t>
            </w:r>
          </w:p>
        </w:tc>
        <w:tc>
          <w:tcPr/>
          <w:p>
            <w:pPr>
              <w:pStyle w:val="Compact"/>
              <w:jc w:val="left"/>
            </w:pPr>
            <w:r>
              <w:t xml:space="preserve">€31,521.00</w:t>
            </w:r>
          </w:p>
        </w:tc>
      </w:tr>
      <w:tr>
        <w:tc>
          <w:tcPr>
            <w:gridSpan w:val="4"/>
          </w:tcPr>
          <w:p>
            <w:pPr>
              <w:pStyle w:val="Compact"/>
              <w:jc w:val="right"/>
            </w:pPr>
            <w:r>
              <w:t xml:space="preserve">TOTAL AMOUNT DUE:</w:t>
            </w:r>
          </w:p>
        </w:tc>
        <w:tc>
          <w:tcPr/>
          <w:p>
            <w:pPr>
              <w:pStyle w:val="Compact"/>
              <w:jc w:val="left"/>
            </w:pPr>
            <w:r>
              <w:t xml:space="preserve">€197,421.00</w:t>
            </w:r>
          </w:p>
        </w:tc>
      </w:tr>
    </w:tbl>
    <w:bookmarkEnd w:id="22"/>
    <w:bookmarkStart w:id="23" w:name="Xe6a667744fc3f5de291cfd476973065d26311cc"/>
    <w:p>
      <w:pPr>
        <w:pStyle w:val="Heading2"/>
      </w:pPr>
      <w:r>
        <w:t xml:space="preserve">3. Professional Profile of the Robotics Engineer</w:t>
      </w:r>
    </w:p>
    <w:p>
      <w:pPr>
        <w:pStyle w:val="FirstParagraph"/>
      </w:pPr>
      <w:r>
        <w:t xml:space="preserve">The</w:t>
      </w:r>
      <w:r>
        <w:t xml:space="preserve"> </w:t>
      </w:r>
      <w:r>
        <w:t xml:space="preserve">Robotics Engineer</w:t>
      </w:r>
      <w:r>
        <w:t xml:space="preserve"> </w:t>
      </w:r>
      <w:r>
        <w:t xml:space="preserve">proposed under this Quotation Estimate holds a minimum of a Master's degree in Mechanical Engineering, Mechatronics, or Robotics from an accredited European or internationally recognized institution. The candidate possesses a minimum of eight (8) years of progressive experience in industrial robotics, with demonstrated proficiency in KUKA, ABB, FANUC, and UR collaborative robot platforms. Fluency in German (B2 level or higher) and English (C1 level) is mandatory, as all technical documentation, client communication, and regulatory filings in Germany Frankfurt require bilingual capability. The Robotics Engineer will also be familiar with ROS 2, Siemens TIA Portal, Beckhoff TwinCAT, and relevant Python/C++ toolchains.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After the expiry date, all rates and availability are subject to revision without prior notice.</w:t>
      </w:r>
    </w:p>
    <w:p>
      <w:pPr>
        <w:numPr>
          <w:ilvl w:val="0"/>
          <w:numId w:val="1001"/>
        </w:numPr>
        <w:pStyle w:val="Compact"/>
      </w:pPr>
      <w:r>
        <w:t xml:space="preserve">Payment terms: 30% advance payment upon acceptance of this Quotation Estimate; 40% upon successful commissioning of the robotics system in Germany Frankfurt; 30% upon final acceptance and handover of all documentation.</w:t>
      </w:r>
    </w:p>
    <w:p>
      <w:pPr>
        <w:numPr>
          <w:ilvl w:val="0"/>
          <w:numId w:val="1001"/>
        </w:numPr>
        <w:pStyle w:val="Compact"/>
      </w:pPr>
      <w:r>
        <w:t xml:space="preserve">All payments shall be made via bank transfer to the account of TechBridge Engineering Solutions GmbH, Frankfurt am Main, Germany. IBAN and BIC details will be provided on the formal invoice.</w:t>
      </w:r>
    </w:p>
    <w:p>
      <w:pPr>
        <w:numPr>
          <w:ilvl w:val="0"/>
          <w:numId w:val="1001"/>
        </w:numPr>
        <w:pStyle w:val="Compact"/>
      </w:pPr>
      <w:r>
        <w:t xml:space="preserve">The Robotics Engineer shall be engaged under a fixed-term contract compliant with the German Civil Code (BGB) and the Part-Time and Fixed-Term Employment Act (TzBfG). Social security, health insurance, and pension contributions are included in the rates stated above.</w:t>
      </w:r>
    </w:p>
    <w:p>
      <w:pPr>
        <w:numPr>
          <w:ilvl w:val="0"/>
          <w:numId w:val="1001"/>
        </w:numPr>
        <w:pStyle w:val="Compact"/>
      </w:pPr>
      <w:r>
        <w:t xml:space="preserve">Intellectual property developed specifically for the client during the engagement shall vest in the client upon full payment. Pre-existing IP of the Robotics Engineer or TechBridge Engineering Solutions GmbH remains the property of the respective owner.</w:t>
      </w:r>
    </w:p>
    <w:p>
      <w:pPr>
        <w:numPr>
          <w:ilvl w:val="0"/>
          <w:numId w:val="1001"/>
        </w:numPr>
        <w:pStyle w:val="Compact"/>
      </w:pPr>
      <w:r>
        <w:t xml:space="preserve">Confidentiality: Both parties agree to maintain strict confidentiality regarding proprietary designs, trade secrets, and operational data encountered during the assignment in Germany Frankfurt. A separate Non-Disclosure Agreement (NDA) shall be executed prior to commencement.</w:t>
      </w:r>
    </w:p>
    <w:p>
      <w:pPr>
        <w:numPr>
          <w:ilvl w:val="0"/>
          <w:numId w:val="1001"/>
        </w:numPr>
        <w:pStyle w:val="Compact"/>
      </w:pPr>
      <w:r>
        <w:t xml:space="preserve">Force Majeure: Neither party shall be liable for delays or non-performance resulting from events beyond reasonable control, including but not limited to natural disasters, pandemics, or government-mandated shutdowns in the Frankfurt region.</w:t>
      </w:r>
    </w:p>
    <w:p>
      <w:pPr>
        <w:numPr>
          <w:ilvl w:val="0"/>
          <w:numId w:val="1001"/>
        </w:numPr>
        <w:pStyle w:val="Compact"/>
      </w:pPr>
      <w:r>
        <w:t xml:space="preserve">Dispute resolution: Any disputes arising from this Quotation Estimate or the subsequent service agreement shall be governed by the laws of the Federal Republic of Germany. The competent court of jurisdiction shall be Frankfurt am Main, Hesse.</w:t>
      </w:r>
    </w:p>
    <w:p>
      <w:pPr>
        <w:numPr>
          <w:ilvl w:val="0"/>
          <w:numId w:val="1001"/>
        </w:numPr>
        <w:pStyle w:val="Compact"/>
      </w:pPr>
      <w:r>
        <w:t xml:space="preserve">This Quotation Estimate does not constitute a binding contract until formally accepted in writing by both parties and a definitive Service Agreement is executed.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scope, and pricing outlined herein for the engagement of the Robotics Engineer in Germany Frankfurt. TechBridge Engineering Solutions GmbH confirms its commitment to delivering the services described to the highest professional standard.</w:t>
      </w:r>
    </w:p>
    <w:p>
      <w:pPr>
        <w:pStyle w:val="BodyText"/>
      </w:pPr>
      <w:r>
        <w:rPr>
          <w:bCs/>
          <w:b/>
        </w:rPr>
        <w:t xml:space="preserve">For TechBridge Engineering Solutions GmbH</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TechBridge Engineering Solutions GmbH — Bockenheimer Landstraße 12, 60323 Frankfurt am Main, Germany</w:t>
      </w:r>
      <w:r>
        <w:br/>
      </w:r>
      <w:r>
        <w:t xml:space="preserve">USt-IdNr.: DE 312 456 789 | HRB 123456 Frankfurt am Main | Tel: +49 69 1234 5678 | Email: quotations@techbridge-eng.de</w:t>
      </w:r>
      <w:r>
        <w:br/>
      </w:r>
      <w:r>
        <w:t xml:space="preserve">This Quotation Estimate was generated electronically and is valid without a physical signature. © 2025 TechBridge Engineering Solutions GmbH.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 Germany Frankfurt</dc:title>
  <dc:creator/>
  <dc:language>en</dc:language>
  <cp:keywords/>
  <dcterms:created xsi:type="dcterms:W3CDTF">2026-10-10T06:17:56Z</dcterms:created>
  <dcterms:modified xsi:type="dcterms:W3CDTF">2026-10-10T06:17:56Z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