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Robotics</w:t>
      </w:r>
      <w:r>
        <w:t xml:space="preserve"> </w:t>
      </w:r>
      <w:r>
        <w:t xml:space="preserve">Engineer</w:t>
      </w:r>
      <w:r>
        <w:t xml:space="preserve"> </w:t>
      </w:r>
      <w:r>
        <w:t xml:space="preserve">Services</w:t>
      </w:r>
      <w:r>
        <w:t xml:space="preserve"> </w:t>
      </w:r>
      <w:r>
        <w:t xml:space="preserve">-</w:t>
      </w:r>
      <w:r>
        <w:t xml:space="preserve"> </w:t>
      </w:r>
      <w:r>
        <w:t xml:space="preserve">Indonesia</w:t>
      </w:r>
      <w:r>
        <w:t xml:space="preserve"> </w:t>
      </w:r>
      <w:r>
        <w:t xml:space="preserve">Jakarta</w:t>
      </w:r>
    </w:p>
    <w:bookmarkStart w:id="20" w:name="quotation-estimate"/>
    <w:p>
      <w:pPr>
        <w:pStyle w:val="Heading1"/>
      </w:pPr>
      <w:r>
        <w:t xml:space="preserve">QUOTATION ESTIMATE</w:t>
      </w:r>
    </w:p>
    <w:p>
      <w:pPr>
        <w:pStyle w:val="FirstParagraph"/>
      </w:pPr>
      <w:r>
        <w:t xml:space="preserve">Professional Robotics Engineer Services | Indonesia Jakarta</w:t>
      </w:r>
    </w:p>
    <w:p>
      <w:pPr>
        <w:pStyle w:val="BodyText"/>
      </w:pPr>
      <w:r>
        <w:t xml:space="preserve">Document Reference: QE-RB-2025-JKT-0047</w:t>
      </w:r>
    </w:p>
    <w:bookmarkEnd w:id="20"/>
    <w:p>
      <w:pPr>
        <w:pStyle w:val="BodyText"/>
      </w:pPr>
      <w:r>
        <w:rPr>
          <w:bCs/>
          <w:b/>
        </w:rPr>
        <w:t xml:space="preserve">Prepared By:</w:t>
      </w:r>
      <w:r>
        <w:t xml:space="preserve"> </w:t>
      </w:r>
      <w:r>
        <w:t xml:space="preserve">PT Nusantara Robotics Solutions</w:t>
      </w:r>
      <w:r>
        <w:br/>
      </w:r>
      <w:r>
        <w:t xml:space="preserve">Jl. Jend. Sudirman Kav. 52-53</w:t>
      </w:r>
      <w:r>
        <w:br/>
      </w:r>
      <w:r>
        <w:t xml:space="preserve">Jakarta Selatan, Indonesia Jakarta 12190</w:t>
      </w:r>
      <w:r>
        <w:br/>
      </w:r>
      <w:r>
        <w:t xml:space="preserve">Email: quotes@nusantarobotics.co.id</w:t>
      </w:r>
      <w:r>
        <w:br/>
      </w:r>
      <w:r>
        <w:t xml:space="preserve">Phone: +62 21 5550 8890</w:t>
      </w:r>
    </w:p>
    <w:p>
      <w:pPr>
        <w:pStyle w:val="BodyText"/>
      </w:pPr>
      <w:r>
        <w:rPr>
          <w:bCs/>
          <w:b/>
        </w:rPr>
        <w:t xml:space="preserve">Prepared For:</w:t>
      </w:r>
      <w:r>
        <w:t xml:space="preserve"> </w:t>
      </w:r>
      <w:r>
        <w:t xml:space="preserve">PT Maju Industri Otomasi</w:t>
      </w:r>
      <w:r>
        <w:br/>
      </w:r>
      <w:r>
        <w:t xml:space="preserve">Kawasan Industri Jababeka</w:t>
      </w:r>
      <w:r>
        <w:br/>
      </w:r>
      <w:r>
        <w:t xml:space="preserve">Cikarang, Indonesia Jakarta 17530</w:t>
      </w:r>
      <w:r>
        <w:br/>
      </w:r>
      <w:r>
        <w:t xml:space="preserve">Attn: Mr. Budi Santoso, Operations Director</w:t>
      </w:r>
      <w:r>
        <w:br/>
      </w:r>
      <w:r>
        <w:t xml:space="preserve">Email: b.santoso@majuindustri.co.id</w:t>
      </w:r>
    </w:p>
    <w:p>
      <w:pPr>
        <w:pStyle w:val="BodyText"/>
      </w:pPr>
      <w:r>
        <w:rPr>
          <w:bCs/>
          <w:b/>
        </w:rPr>
        <w:t xml:space="preserve">Quotation Details:</w:t>
      </w:r>
      <w:r>
        <w:t xml:space="preserve"> </w:t>
      </w:r>
      <w:r>
        <w:t xml:space="preserve">Date Issued: 15 June 2025</w:t>
      </w:r>
      <w:r>
        <w:br/>
      </w:r>
      <w:r>
        <w:t xml:space="preserve">Valid Until: 15 July 2025</w:t>
      </w:r>
      <w:r>
        <w:br/>
      </w:r>
      <w:r>
        <w:t xml:space="preserve">Currency: Indonesian Rupiah (IDR)</w:t>
      </w:r>
      <w:r>
        <w:br/>
      </w:r>
      <w:r>
        <w:t xml:space="preserve">Payment Terms: 50/30/20</w:t>
      </w:r>
    </w:p>
    <w:bookmarkStart w:id="21" w:name="executive-summary"/>
    <w:p>
      <w:pPr>
        <w:pStyle w:val="Heading2"/>
      </w:pPr>
      <w:r>
        <w:t xml:space="preserve">1. Executive Summary</w:t>
      </w:r>
    </w:p>
    <w:p>
      <w:pPr>
        <w:pStyle w:val="FirstParagraph"/>
      </w:pPr>
      <w:r>
        <w:t xml:space="preserve">This</w:t>
      </w:r>
      <w:r>
        <w:t xml:space="preserve"> </w:t>
      </w:r>
      <w:r>
        <w:t xml:space="preserve">Quotation Estimate</w:t>
      </w:r>
      <w:r>
        <w:t xml:space="preserve"> </w:t>
      </w:r>
      <w:r>
        <w:t xml:space="preserve">is formally issued by PT Nusantara Robotics Solutions to PT Maju Industri Otomasi for the provision of specialized</w:t>
      </w:r>
      <w:r>
        <w:t xml:space="preserve"> </w:t>
      </w:r>
      <w:r>
        <w:t xml:space="preserve">Robotics Engineer</w:t>
      </w:r>
      <w:r>
        <w:t xml:space="preserve"> </w:t>
      </w:r>
      <w:r>
        <w:t xml:space="preserve">consulting and implementation services. The scope of work described herein is tailored specifically for industrial automation projects located in and around</w:t>
      </w:r>
      <w:r>
        <w:t xml:space="preserve"> </w:t>
      </w:r>
      <w:r>
        <w:t xml:space="preserve">Indonesia Jakarta</w:t>
      </w:r>
      <w:r>
        <w:t xml:space="preserve">, encompassing the Greater Jakarta metropolitan area including Cikarang, Bekasi, and Tangerang industrial zones. This document serves as a comprehensive financial and technical proposal outlining all deliverables, timelines, and associated costs for the engagement of a senior</w:t>
      </w:r>
      <w:r>
        <w:t xml:space="preserve"> </w:t>
      </w:r>
      <w:r>
        <w:t xml:space="preserve">Robotics Engineer</w:t>
      </w:r>
      <w:r>
        <w:t xml:space="preserve"> </w:t>
      </w:r>
      <w:r>
        <w:t xml:space="preserve">to design, deploy, and maintain robotic automation systems for the client's manufacturing facility.</w:t>
      </w:r>
    </w:p>
    <w:bookmarkEnd w:id="21"/>
    <w:bookmarkStart w:id="22" w:name="scope-of-work"/>
    <w:p>
      <w:pPr>
        <w:pStyle w:val="Heading2"/>
      </w:pPr>
      <w:r>
        <w:t xml:space="preserve">2. Scope of Work</w:t>
      </w:r>
    </w:p>
    <w:p>
      <w:pPr>
        <w:pStyle w:val="FirstParagraph"/>
      </w:pPr>
      <w:r>
        <w:t xml:space="preserve">The</w:t>
      </w:r>
      <w:r>
        <w:t xml:space="preserve"> </w:t>
      </w:r>
      <w:r>
        <w:t xml:space="preserve">Robotics Engineer</w:t>
      </w:r>
      <w:r>
        <w:t xml:space="preserve"> </w:t>
      </w:r>
      <w:r>
        <w:t xml:space="preserve">engagement under this</w:t>
      </w:r>
      <w:r>
        <w:t xml:space="preserve"> </w:t>
      </w:r>
      <w:r>
        <w:t xml:space="preserve">Quotation Estimate</w:t>
      </w:r>
      <w:r>
        <w:t xml:space="preserve"> </w:t>
      </w:r>
      <w:r>
        <w:t xml:space="preserve">includes the following deliverables and service components, all to be executed within the operational boundaries of</w:t>
      </w:r>
      <w:r>
        <w:t xml:space="preserve"> </w:t>
      </w:r>
      <w:r>
        <w:t xml:space="preserve">Indonesia Jakarta</w:t>
      </w:r>
      <w:r>
        <w:t xml:space="preserve"> </w:t>
      </w:r>
      <w:r>
        <w:t xml:space="preserve">and its surrounding industrial corridors:</w:t>
      </w:r>
    </w:p>
    <w:p>
      <w:pPr>
        <w:numPr>
          <w:ilvl w:val="0"/>
          <w:numId w:val="1001"/>
        </w:numPr>
        <w:pStyle w:val="Compact"/>
      </w:pPr>
      <w:r>
        <w:rPr>
          <w:bCs/>
          <w:b/>
        </w:rPr>
        <w:t xml:space="preserve">Site Assessment &amp; Feasibility Study:</w:t>
      </w:r>
      <w:r>
        <w:t xml:space="preserve"> </w:t>
      </w:r>
      <w:r>
        <w:t xml:space="preserve">Comprehensive on-site evaluation of the client's production floor in Cikarang, Indonesia Jakarta, to identify optimal locations for robotic cell integration, assess existing infrastructure compatibility, and produce a detailed feasibility report.</w:t>
      </w:r>
    </w:p>
    <w:p>
      <w:pPr>
        <w:numPr>
          <w:ilvl w:val="0"/>
          <w:numId w:val="1001"/>
        </w:numPr>
        <w:pStyle w:val="Compact"/>
      </w:pPr>
      <w:r>
        <w:rPr>
          <w:bCs/>
          <w:b/>
        </w:rPr>
        <w:t xml:space="preserve">System Design &amp; Engineering:</w:t>
      </w:r>
      <w:r>
        <w:t xml:space="preserve"> </w:t>
      </w:r>
      <w:r>
        <w:t xml:space="preserve">Full mechanical, electrical, and software design of a six-axis robotic arm system (FANUC or equivalent) including end-effector selection, safety guarding design, PLC programming, and HMI interface development.</w:t>
      </w:r>
    </w:p>
    <w:p>
      <w:pPr>
        <w:numPr>
          <w:ilvl w:val="0"/>
          <w:numId w:val="1001"/>
        </w:numPr>
        <w:pStyle w:val="Compact"/>
      </w:pPr>
      <w:r>
        <w:rPr>
          <w:bCs/>
          <w:b/>
        </w:rPr>
        <w:t xml:space="preserve">Procurement &amp; Logistics Coordination:</w:t>
      </w:r>
      <w:r>
        <w:t xml:space="preserve"> </w:t>
      </w:r>
      <w:r>
        <w:t xml:space="preserve">Management of all hardware procurement, customs clearance for imported components, and delivery scheduling to the client's facility in Indonesia Jakarta.</w:t>
      </w:r>
    </w:p>
    <w:p>
      <w:pPr>
        <w:numPr>
          <w:ilvl w:val="0"/>
          <w:numId w:val="1001"/>
        </w:numPr>
        <w:pStyle w:val="Compact"/>
      </w:pPr>
      <w:r>
        <w:rPr>
          <w:bCs/>
          <w:b/>
        </w:rPr>
        <w:t xml:space="preserve">Installation &amp; Commissioning:</w:t>
      </w:r>
      <w:r>
        <w:t xml:space="preserve"> </w:t>
      </w:r>
      <w:r>
        <w:t xml:space="preserve">Physical installation of the robotic system, electrical wiring, pneumatic connections, and full commissioning including dry-run and wet-run testing with production materials.</w:t>
      </w:r>
    </w:p>
    <w:p>
      <w:pPr>
        <w:numPr>
          <w:ilvl w:val="0"/>
          <w:numId w:val="1001"/>
        </w:numPr>
        <w:pStyle w:val="Compact"/>
      </w:pPr>
      <w:r>
        <w:rPr>
          <w:bCs/>
          <w:b/>
        </w:rPr>
        <w:t xml:space="preserve">Operator Training:</w:t>
      </w:r>
      <w:r>
        <w:t xml:space="preserve"> </w:t>
      </w:r>
      <w:r>
        <w:t xml:space="preserve">Minimum 5-day on-site training program for up to 8 client personnel covering system operation, basic troubleshooting, preventive maintenance procedures, and safety protocols.</w:t>
      </w:r>
    </w:p>
    <w:p>
      <w:pPr>
        <w:numPr>
          <w:ilvl w:val="0"/>
          <w:numId w:val="1001"/>
        </w:numPr>
        <w:pStyle w:val="Compact"/>
      </w:pPr>
      <w:r>
        <w:rPr>
          <w:bCs/>
          <w:b/>
        </w:rPr>
        <w:t xml:space="preserve">Post-Deployment Support:</w:t>
      </w:r>
      <w:r>
        <w:t xml:space="preserve"> </w:t>
      </w:r>
      <w:r>
        <w:t xml:space="preserve">12-month warranty period with guaranteed response time of 24 hours for critical faults and 72 hours for non-critical issues, with on-site visits to the Indonesia Jakarta facility as required.</w:t>
      </w:r>
    </w:p>
    <w:bookmarkEnd w:id="22"/>
    <w:bookmarkStart w:id="23" w:name="financial-breakdown"/>
    <w:p>
      <w:pPr>
        <w:pStyle w:val="Heading2"/>
      </w:pPr>
      <w:r>
        <w:t xml:space="preserve">3. Financial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Duration / Qty</w:t>
            </w:r>
          </w:p>
        </w:tc>
        <w:tc>
          <w:tcPr/>
          <w:p>
            <w:pPr>
              <w:pStyle w:val="Compact"/>
              <w:jc w:val="left"/>
            </w:pPr>
            <w:r>
              <w:t xml:space="preserve">Unit Cost (IDR)</w:t>
            </w:r>
          </w:p>
        </w:tc>
        <w:tc>
          <w:tcPr/>
          <w:p>
            <w:pPr>
              <w:pStyle w:val="Compact"/>
              <w:jc w:val="left"/>
            </w:pPr>
            <w:r>
              <w:t xml:space="preserve">Total (IDR)</w:t>
            </w:r>
          </w:p>
        </w:tc>
      </w:tr>
      <w:tr>
        <w:tc>
          <w:tcPr/>
          <w:p>
            <w:pPr>
              <w:pStyle w:val="Compact"/>
              <w:jc w:val="left"/>
            </w:pPr>
            <w:r>
              <w:t xml:space="preserve">01</w:t>
            </w:r>
          </w:p>
        </w:tc>
        <w:tc>
          <w:tcPr/>
          <w:p>
            <w:pPr>
              <w:pStyle w:val="Compact"/>
              <w:jc w:val="left"/>
            </w:pPr>
            <w:r>
              <w:t xml:space="preserve">Robotics Engineer – Site Assessment &amp; Feasibility Study (Indonesia Jakarta)</w:t>
            </w:r>
          </w:p>
        </w:tc>
        <w:tc>
          <w:tcPr/>
          <w:p>
            <w:pPr>
              <w:pStyle w:val="Compact"/>
              <w:jc w:val="left"/>
            </w:pPr>
            <w:r>
              <w:t xml:space="preserve">3 days</w:t>
            </w:r>
          </w:p>
        </w:tc>
        <w:tc>
          <w:tcPr/>
          <w:p>
            <w:pPr>
              <w:pStyle w:val="Compact"/>
              <w:jc w:val="left"/>
            </w:pPr>
            <w:r>
              <w:t xml:space="preserve">18,500,000</w:t>
            </w:r>
          </w:p>
        </w:tc>
        <w:tc>
          <w:tcPr/>
          <w:p>
            <w:pPr>
              <w:pStyle w:val="Compact"/>
              <w:jc w:val="left"/>
            </w:pPr>
            <w:r>
              <w:t xml:space="preserve">55,500,000</w:t>
            </w:r>
          </w:p>
        </w:tc>
      </w:tr>
      <w:tr>
        <w:tc>
          <w:tcPr/>
          <w:p>
            <w:pPr>
              <w:pStyle w:val="Compact"/>
              <w:jc w:val="left"/>
            </w:pPr>
            <w:r>
              <w:t xml:space="preserve">02</w:t>
            </w:r>
          </w:p>
        </w:tc>
        <w:tc>
          <w:tcPr/>
          <w:p>
            <w:pPr>
              <w:pStyle w:val="Compact"/>
              <w:jc w:val="left"/>
            </w:pPr>
            <w:r>
              <w:t xml:space="preserve">Robotics Engineer – System Design, Programming &amp; Documentation</w:t>
            </w:r>
          </w:p>
        </w:tc>
        <w:tc>
          <w:tcPr/>
          <w:p>
            <w:pPr>
              <w:pStyle w:val="Compact"/>
              <w:jc w:val="left"/>
            </w:pPr>
            <w:r>
              <w:t xml:space="preserve">25 days</w:t>
            </w:r>
          </w:p>
        </w:tc>
        <w:tc>
          <w:tcPr/>
          <w:p>
            <w:pPr>
              <w:pStyle w:val="Compact"/>
              <w:jc w:val="left"/>
            </w:pPr>
            <w:r>
              <w:t xml:space="preserve">22,000,000</w:t>
            </w:r>
          </w:p>
        </w:tc>
        <w:tc>
          <w:tcPr/>
          <w:p>
            <w:pPr>
              <w:pStyle w:val="Compact"/>
              <w:jc w:val="left"/>
            </w:pPr>
            <w:r>
              <w:t xml:space="preserve">550,000,000</w:t>
            </w:r>
          </w:p>
        </w:tc>
      </w:tr>
      <w:tr>
        <w:tc>
          <w:tcPr/>
          <w:p>
            <w:pPr>
              <w:pStyle w:val="Compact"/>
              <w:jc w:val="left"/>
            </w:pPr>
            <w:r>
              <w:t xml:space="preserve">03</w:t>
            </w:r>
          </w:p>
        </w:tc>
        <w:tc>
          <w:tcPr/>
          <w:p>
            <w:pPr>
              <w:pStyle w:val="Compact"/>
              <w:jc w:val="left"/>
            </w:pPr>
            <w:r>
              <w:t xml:space="preserve">Hardware Procurement – 6-Axis Robotic Arm, End-Effector, Safety System</w:t>
            </w:r>
          </w:p>
        </w:tc>
        <w:tc>
          <w:tcPr/>
          <w:p>
            <w:pPr>
              <w:pStyle w:val="Compact"/>
              <w:jc w:val="left"/>
            </w:pPr>
            <w:r>
              <w:t xml:space="preserve">1 set</w:t>
            </w:r>
          </w:p>
        </w:tc>
        <w:tc>
          <w:tcPr/>
          <w:p>
            <w:pPr>
              <w:pStyle w:val="Compact"/>
              <w:jc w:val="left"/>
            </w:pPr>
            <w:r>
              <w:t xml:space="preserve">1,250,000,000</w:t>
            </w:r>
          </w:p>
        </w:tc>
        <w:tc>
          <w:tcPr/>
          <w:p>
            <w:pPr>
              <w:pStyle w:val="Compact"/>
              <w:jc w:val="left"/>
            </w:pPr>
            <w:r>
              <w:t xml:space="preserve">1,250,000,000</w:t>
            </w:r>
          </w:p>
        </w:tc>
      </w:tr>
      <w:tr>
        <w:tc>
          <w:tcPr/>
          <w:p>
            <w:pPr>
              <w:pStyle w:val="Compact"/>
              <w:jc w:val="left"/>
            </w:pPr>
            <w:r>
              <w:t xml:space="preserve">04</w:t>
            </w:r>
          </w:p>
        </w:tc>
        <w:tc>
          <w:tcPr/>
          <w:p>
            <w:pPr>
              <w:pStyle w:val="Compact"/>
              <w:jc w:val="left"/>
            </w:pPr>
            <w:r>
              <w:t xml:space="preserve">Installation, Commissioning &amp; Integration (Indonesia Jakarta site)</w:t>
            </w:r>
          </w:p>
        </w:tc>
        <w:tc>
          <w:tcPr/>
          <w:p>
            <w:pPr>
              <w:pStyle w:val="Compact"/>
              <w:jc w:val="left"/>
            </w:pPr>
            <w:r>
              <w:t xml:space="preserve">15 days</w:t>
            </w:r>
          </w:p>
        </w:tc>
        <w:tc>
          <w:tcPr/>
          <w:p>
            <w:pPr>
              <w:pStyle w:val="Compact"/>
              <w:jc w:val="left"/>
            </w:pPr>
            <w:r>
              <w:t xml:space="preserve">25,000,000</w:t>
            </w:r>
          </w:p>
        </w:tc>
        <w:tc>
          <w:tcPr/>
          <w:p>
            <w:pPr>
              <w:pStyle w:val="Compact"/>
              <w:jc w:val="left"/>
            </w:pPr>
            <w:r>
              <w:t xml:space="preserve">375,000,000</w:t>
            </w:r>
          </w:p>
        </w:tc>
      </w:tr>
      <w:tr>
        <w:tc>
          <w:tcPr/>
          <w:p>
            <w:pPr>
              <w:pStyle w:val="Compact"/>
              <w:jc w:val="left"/>
            </w:pPr>
            <w:r>
              <w:t xml:space="preserve">05</w:t>
            </w:r>
          </w:p>
        </w:tc>
        <w:tc>
          <w:tcPr/>
          <w:p>
            <w:pPr>
              <w:pStyle w:val="Compact"/>
              <w:jc w:val="left"/>
            </w:pPr>
            <w:r>
              <w:t xml:space="preserve">Operator Training Program (8 personnel, 5 days)</w:t>
            </w:r>
          </w:p>
        </w:tc>
        <w:tc>
          <w:tcPr/>
          <w:p>
            <w:pPr>
              <w:pStyle w:val="Compact"/>
              <w:jc w:val="left"/>
            </w:pPr>
            <w:r>
              <w:t xml:space="preserve">1 package</w:t>
            </w:r>
          </w:p>
        </w:tc>
        <w:tc>
          <w:tcPr/>
          <w:p>
            <w:pPr>
              <w:pStyle w:val="Compact"/>
              <w:jc w:val="left"/>
            </w:pPr>
            <w:r>
              <w:t xml:space="preserve">45,000,000</w:t>
            </w:r>
          </w:p>
        </w:tc>
        <w:tc>
          <w:tcPr/>
          <w:p>
            <w:pPr>
              <w:pStyle w:val="Compact"/>
              <w:jc w:val="left"/>
            </w:pPr>
            <w:r>
              <w:t xml:space="preserve">45,000,000</w:t>
            </w:r>
          </w:p>
        </w:tc>
      </w:tr>
      <w:tr>
        <w:tc>
          <w:tcPr/>
          <w:p>
            <w:pPr>
              <w:pStyle w:val="Compact"/>
              <w:jc w:val="left"/>
            </w:pPr>
            <w:r>
              <w:t xml:space="preserve">06</w:t>
            </w:r>
          </w:p>
        </w:tc>
        <w:tc>
          <w:tcPr/>
          <w:p>
            <w:pPr>
              <w:pStyle w:val="Compact"/>
              <w:jc w:val="left"/>
            </w:pPr>
            <w:r>
              <w:t xml:space="preserve">Post-Deployment Support &amp; Warranty (12 months, Indonesia Jakarta)</w:t>
            </w:r>
          </w:p>
        </w:tc>
        <w:tc>
          <w:tcPr/>
          <w:p>
            <w:pPr>
              <w:pStyle w:val="Compact"/>
              <w:jc w:val="left"/>
            </w:pPr>
            <w:r>
              <w:t xml:space="preserve">12 months</w:t>
            </w:r>
          </w:p>
        </w:tc>
        <w:tc>
          <w:tcPr/>
          <w:p>
            <w:pPr>
              <w:pStyle w:val="Compact"/>
              <w:jc w:val="left"/>
            </w:pPr>
            <w:r>
              <w:t xml:space="preserve">38,000,000</w:t>
            </w:r>
          </w:p>
        </w:tc>
        <w:tc>
          <w:tcPr/>
          <w:p>
            <w:pPr>
              <w:pStyle w:val="Compact"/>
              <w:jc w:val="left"/>
            </w:pPr>
            <w:r>
              <w:t xml:space="preserve">38,000,000</w:t>
            </w:r>
          </w:p>
        </w:tc>
      </w:tr>
      <w:tr>
        <w:tc>
          <w:tcPr/>
          <w:p>
            <w:pPr>
              <w:pStyle w:val="Compact"/>
              <w:jc w:val="left"/>
            </w:pPr>
            <w:r>
              <w:t xml:space="preserve">07</w:t>
            </w:r>
          </w:p>
        </w:tc>
        <w:tc>
          <w:tcPr/>
          <w:p>
            <w:pPr>
              <w:pStyle w:val="Compact"/>
              <w:jc w:val="left"/>
            </w:pPr>
            <w:r>
              <w:t xml:space="preserve">Travel, Accommodation &amp; Logistics (Jakarta metropolitan area)</w:t>
            </w:r>
          </w:p>
        </w:tc>
        <w:tc>
          <w:tcPr/>
          <w:p>
            <w:pPr>
              <w:pStyle w:val="Compact"/>
              <w:jc w:val="left"/>
            </w:pPr>
            <w:r>
              <w:t xml:space="preserve">40 days</w:t>
            </w:r>
          </w:p>
        </w:tc>
        <w:tc>
          <w:tcPr/>
          <w:p>
            <w:pPr>
              <w:pStyle w:val="Compact"/>
              <w:jc w:val="left"/>
            </w:pPr>
            <w:r>
              <w:t xml:space="preserve">3,500,000</w:t>
            </w:r>
          </w:p>
        </w:tc>
        <w:tc>
          <w:tcPr/>
          <w:p>
            <w:pPr>
              <w:pStyle w:val="Compact"/>
              <w:jc w:val="left"/>
            </w:pPr>
            <w:r>
              <w:t xml:space="preserve">140,000,000</w:t>
            </w:r>
          </w:p>
        </w:tc>
      </w:tr>
      <w:tr>
        <w:tc>
          <w:tcPr/>
          <w:p>
            <w:pPr>
              <w:pStyle w:val="Compact"/>
              <w:jc w:val="left"/>
            </w:pPr>
            <w:r>
              <w:t xml:space="preserve">08</w:t>
            </w:r>
          </w:p>
        </w:tc>
        <w:tc>
          <w:tcPr/>
          <w:p>
            <w:pPr>
              <w:pStyle w:val="Compact"/>
              <w:jc w:val="left"/>
            </w:pPr>
            <w:r>
              <w:t xml:space="preserve">Project Management &amp; Administrative Overhead</w:t>
            </w:r>
          </w:p>
        </w:tc>
        <w:tc>
          <w:tcPr/>
          <w:p>
            <w:pPr>
              <w:pStyle w:val="Compact"/>
              <w:jc w:val="left"/>
            </w:pPr>
            <w:r>
              <w:t xml:space="preserve">1 package</w:t>
            </w:r>
          </w:p>
        </w:tc>
        <w:tc>
          <w:tcPr/>
          <w:p>
            <w:pPr>
              <w:pStyle w:val="Compact"/>
              <w:jc w:val="left"/>
            </w:pPr>
            <w:r>
              <w:t xml:space="preserve">—</w:t>
            </w:r>
          </w:p>
        </w:tc>
        <w:tc>
          <w:tcPr/>
          <w:p>
            <w:pPr>
              <w:pStyle w:val="Compact"/>
              <w:jc w:val="left"/>
            </w:pPr>
            <w:r>
              <w:t xml:space="preserve">85,000,000</w:t>
            </w:r>
          </w:p>
        </w:tc>
      </w:tr>
      <w:tr>
        <w:tc>
          <w:tcPr>
            <w:gridSpan w:val="4"/>
          </w:tcPr>
          <w:p>
            <w:pPr>
              <w:pStyle w:val="Compact"/>
              <w:jc w:val="left"/>
            </w:pPr>
            <w:r>
              <w:t xml:space="preserve">Subtotal</w:t>
            </w:r>
          </w:p>
        </w:tc>
        <w:tc>
          <w:tcPr/>
          <w:p>
            <w:pPr>
              <w:pStyle w:val="Compact"/>
              <w:jc w:val="left"/>
            </w:pPr>
            <w:r>
              <w:t xml:space="preserve">2,538,500,000</w:t>
            </w:r>
          </w:p>
        </w:tc>
      </w:tr>
      <w:tr>
        <w:tc>
          <w:tcPr>
            <w:gridSpan w:val="4"/>
          </w:tcPr>
          <w:p>
            <w:pPr>
              <w:pStyle w:val="Compact"/>
              <w:jc w:val="left"/>
            </w:pPr>
            <w:r>
              <w:t xml:space="preserve">VAT (11%)</w:t>
            </w:r>
          </w:p>
        </w:tc>
        <w:tc>
          <w:tcPr/>
          <w:p>
            <w:pPr>
              <w:pStyle w:val="Compact"/>
              <w:jc w:val="left"/>
            </w:pPr>
            <w:r>
              <w:t xml:space="preserve">279,235,000</w:t>
            </w:r>
          </w:p>
        </w:tc>
      </w:tr>
      <w:tr>
        <w:tc>
          <w:tcPr>
            <w:gridSpan w:val="4"/>
          </w:tcPr>
          <w:p>
            <w:pPr>
              <w:pStyle w:val="Compact"/>
              <w:jc w:val="left"/>
            </w:pPr>
            <w:r>
              <w:rPr>
                <w:bCs/>
                <w:b/>
              </w:rPr>
              <w:t xml:space="preserve">GRAND TOTAL (IDR)</w:t>
            </w:r>
          </w:p>
        </w:tc>
        <w:tc>
          <w:tcPr/>
          <w:p>
            <w:pPr>
              <w:pStyle w:val="Compact"/>
              <w:jc w:val="left"/>
            </w:pPr>
            <w:r>
              <w:rPr>
                <w:bCs/>
                <w:b/>
              </w:rPr>
              <w:t xml:space="preserve">2,817,735,000</w:t>
            </w:r>
          </w:p>
        </w:tc>
      </w:tr>
    </w:tbl>
    <w:bookmarkEnd w:id="23"/>
    <w:bookmarkStart w:id="24" w:name="project-timeline"/>
    <w:p>
      <w:pPr>
        <w:pStyle w:val="Heading2"/>
      </w:pPr>
      <w:r>
        <w:t xml:space="preserve">4. Project Timeline</w:t>
      </w:r>
    </w:p>
    <w:p>
      <w:pPr>
        <w:pStyle w:val="FirstParagraph"/>
      </w:pPr>
      <w:r>
        <w:t xml:space="preserve">The estimated project duration from contract signing to full handover is</w:t>
      </w:r>
      <w:r>
        <w:t xml:space="preserve"> </w:t>
      </w:r>
      <w:r>
        <w:rPr>
          <w:bCs/>
          <w:b/>
        </w:rPr>
        <w:t xml:space="preserve">14 weeks</w:t>
      </w:r>
      <w:r>
        <w:t xml:space="preserve">, with all on-site activities concentrated in the Indonesia Jakarta metropolitan area. The Robotics Engineer will be physically present at the client's Cikarang facility during installation and commissioning phases, while design and programming work may be conducted at our Jakarta Selatan office with weekly progress reviews.</w:t>
      </w:r>
    </w:p>
    <w:bookmarkEnd w:id="24"/>
    <w:bookmarkStart w:id="25" w:name="terms-and-conditions"/>
    <w:p>
      <w:pPr>
        <w:pStyle w:val="Heading2"/>
      </w:pPr>
      <w:r>
        <w:t xml:space="preserve">5. Terms and Conditions</w:t>
      </w:r>
    </w:p>
    <w:p>
      <w:pPr>
        <w:numPr>
          <w:ilvl w:val="0"/>
          <w:numId w:val="1002"/>
        </w:numPr>
        <w:pStyle w:val="Compact"/>
      </w:pPr>
      <w:r>
        <w:t xml:space="preserve">This Quotation Estimate is valid for 30 calendar days from the date of issue. After the expiry date, pricing may be subject to revision due to currency fluctuations or component cost changes.</w:t>
      </w:r>
    </w:p>
    <w:p>
      <w:pPr>
        <w:numPr>
          <w:ilvl w:val="0"/>
          <w:numId w:val="1002"/>
        </w:numPr>
        <w:pStyle w:val="Compact"/>
      </w:pPr>
      <w:r>
        <w:t xml:space="preserve">Payment schedule: 50% upon contract signing, 30% upon successful commissioning, and 20% upon completion of the operator training program.</w:t>
      </w:r>
    </w:p>
    <w:p>
      <w:pPr>
        <w:numPr>
          <w:ilvl w:val="0"/>
          <w:numId w:val="1002"/>
        </w:numPr>
        <w:pStyle w:val="Compact"/>
      </w:pPr>
      <w:r>
        <w:t xml:space="preserve">All work performed by the Robotics Engineer shall comply with Indonesian national standards (SNI) and applicable regulations from the Ministry of Industry of the Republic of Indonesia.</w:t>
      </w:r>
    </w:p>
    <w:p>
      <w:pPr>
        <w:numPr>
          <w:ilvl w:val="0"/>
          <w:numId w:val="1002"/>
        </w:numPr>
        <w:pStyle w:val="Compact"/>
      </w:pPr>
      <w:r>
        <w:t xml:space="preserve">The client is responsible for providing adequate workspace, three-phase power supply (380V/50Hz), compressed air, and internet connectivity at the Indonesia Jakarta project site.</w:t>
      </w:r>
    </w:p>
    <w:p>
      <w:pPr>
        <w:numPr>
          <w:ilvl w:val="0"/>
          <w:numId w:val="1002"/>
        </w:numPr>
        <w:pStyle w:val="Compact"/>
      </w:pPr>
      <w:r>
        <w:t xml:space="preserve">Any scope changes or additional requirements beyond this Quotation Estimate shall be documented in a formal Change Order and priced separately before execution.</w:t>
      </w:r>
    </w:p>
    <w:p>
      <w:pPr>
        <w:numPr>
          <w:ilvl w:val="0"/>
          <w:numId w:val="1002"/>
        </w:numPr>
        <w:pStyle w:val="Compact"/>
      </w:pPr>
      <w:r>
        <w:t xml:space="preserve">Confidentiality: All proprietary designs, programming code, and operational data developed during this engagement remain the intellectual property of the client. The Robotics Engineer and PT Nusantara Robotics Solutions agree to maintain strict confidentiality.</w:t>
      </w:r>
    </w:p>
    <w:p>
      <w:pPr>
        <w:numPr>
          <w:ilvl w:val="0"/>
          <w:numId w:val="1002"/>
        </w:numPr>
        <w:pStyle w:val="Compact"/>
      </w:pPr>
      <w:r>
        <w:t xml:space="preserve">Disputes arising from this agreement shall be resolved through arbitration in Indonesia Jakarta in accordance with the rules of the Indonesian National Board of Arbitration (BANI).</w:t>
      </w:r>
    </w:p>
    <w:bookmarkEnd w:id="25"/>
    <w:bookmarkStart w:id="26" w:name="acceptance-and-authorization"/>
    <w:p>
      <w:pPr>
        <w:pStyle w:val="Heading2"/>
      </w:pPr>
      <w:r>
        <w:t xml:space="preserve">6. Acceptance and Authorization</w:t>
      </w:r>
    </w:p>
    <w:p>
      <w:pPr>
        <w:pStyle w:val="FirstParagraph"/>
      </w:pPr>
      <w:r>
        <w:t xml:space="preserve">By signing below, both parties acknowledge and agree to the terms, scope, and financial obligations outlined in this Quotation Estimate for the Robotics Engineer services to be delivered in Indonesia Jakarta.</w:t>
      </w:r>
    </w:p>
    <w:p>
      <w:pPr>
        <w:pStyle w:val="BodyText"/>
      </w:pPr>
      <w:r>
        <w:rPr>
          <w:bCs/>
          <w:b/>
        </w:rPr>
        <w:t xml:space="preserve">For PT Nusantara Robotics Solutions</w:t>
      </w:r>
      <w:r>
        <w:br/>
      </w:r>
      <w:r>
        <w:t xml:space="preserve">Name: Dr. Andi Wijaya, P.Eng.</w:t>
      </w:r>
      <w:r>
        <w:br/>
      </w:r>
      <w:r>
        <w:t xml:space="preserve">Title: Lead Robotics Engineer</w:t>
      </w:r>
      <w:r>
        <w:br/>
      </w:r>
      <w:r>
        <w:t xml:space="preserve">Date: _______________</w:t>
      </w:r>
    </w:p>
    <w:p>
      <w:pPr>
        <w:pStyle w:val="BodyText"/>
      </w:pPr>
      <w:r>
        <w:rPr>
          <w:bCs/>
          <w:b/>
        </w:rPr>
        <w:t xml:space="preserve">For PT Maju Industri Otomasi</w:t>
      </w:r>
      <w:r>
        <w:br/>
      </w:r>
      <w:r>
        <w:t xml:space="preserve">Name: Mr. Budi Santoso</w:t>
      </w:r>
      <w:r>
        <w:br/>
      </w:r>
      <w:r>
        <w:t xml:space="preserve">Title: Operations Director</w:t>
      </w:r>
      <w:r>
        <w:br/>
      </w:r>
      <w:r>
        <w:t xml:space="preserve">Date: _______________</w:t>
      </w:r>
    </w:p>
    <w:p>
      <w:pPr>
        <w:pStyle w:val="BodyText"/>
      </w:pPr>
      <w:r>
        <w:t xml:space="preserve">PT Nusantara Robotics Solutions | Jl. Jend. Sudirman Kav. 52-53, Jakarta Selatan, Indonesia Jakarta 12190</w:t>
      </w:r>
    </w:p>
    <w:p>
      <w:pPr>
        <w:pStyle w:val="BodyText"/>
      </w:pPr>
      <w:r>
        <w:t xml:space="preserve">This Quotation Estimate document is generated electronically and is valid without a physical stamp. | 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Robotics Engineer Services - Indonesia Jakarta</dc:title>
  <dc:creator/>
  <dc:language>en</dc:language>
  <cp:keywords/>
  <dcterms:created xsi:type="dcterms:W3CDTF">2026-10-10T07:58:14Z</dcterms:created>
  <dcterms:modified xsi:type="dcterms:W3CDTF">2026-10-10T07:58:14Z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