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 Robotics Engineer Engagement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QTE-2025-ITM-0472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TechNova Engineering Solutions S.r.l. – Via Torino 35, 20123 Milan, Italy</w:t>
            </w:r>
          </w:p>
        </w:tc>
      </w:tr>
      <w:tr>
        <w:tc>
          <w:tcPr/>
          <w:p>
            <w:pPr>
              <w:pStyle w:val="Compact"/>
              <w:jc w:val="left"/>
            </w:pPr>
            <w:r>
              <w:t xml:space="preserve">Prepared For</w:t>
            </w:r>
          </w:p>
        </w:tc>
        <w:tc>
          <w:tcPr/>
          <w:p>
            <w:pPr>
              <w:pStyle w:val="Compact"/>
              <w:jc w:val="left"/>
            </w:pPr>
            <w:r>
              <w:t xml:space="preserve">Client Name / Company – Address in Italy Milan</w:t>
            </w:r>
          </w:p>
        </w:tc>
      </w:tr>
      <w:tr>
        <w:tc>
          <w:tcPr/>
          <w:p>
            <w:pPr>
              <w:pStyle w:val="Compact"/>
              <w:jc w:val="left"/>
            </w:pPr>
            <w:r>
              <w:t xml:space="preserve">Project Reference</w:t>
            </w:r>
          </w:p>
        </w:tc>
        <w:tc>
          <w:tcPr/>
          <w:p>
            <w:pPr>
              <w:pStyle w:val="Compact"/>
              <w:jc w:val="left"/>
            </w:pPr>
            <w:r>
              <w:t xml:space="preserve">RE-ITM-2025-Automation &amp; Industrial Robotics Deployment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TechNova Engineering Solutions S.r.l. to formally outline the scope, deliverables, and associated costs for the engagement of a senior</w:t>
      </w:r>
      <w:r>
        <w:t xml:space="preserve"> </w:t>
      </w:r>
      <w:r>
        <w:t xml:space="preserve">Robotics Engineer</w:t>
      </w:r>
      <w:r>
        <w:t xml:space="preserve"> </w:t>
      </w:r>
      <w:r>
        <w:t xml:space="preserve">to support the client's industrial automation and robotic systems development programme. The engagement is to be carried out primarily at the client's operational facilities located in</w:t>
      </w:r>
      <w:r>
        <w:t xml:space="preserve"> </w:t>
      </w:r>
      <w:r>
        <w:t xml:space="preserve">Italy Milan</w:t>
      </w:r>
      <w:r>
        <w:t xml:space="preserve">, with the possibility of remote collaboration for design and simulation phases. This document serves as a binding financial proposal and should be reviewed in its entirety before acceptance.</w:t>
      </w:r>
    </w:p>
    <w:p>
      <w:pPr>
        <w:pStyle w:val="BodyText"/>
      </w:pPr>
      <w:r>
        <w:t xml:space="preserve">The</w:t>
      </w:r>
      <w:r>
        <w:t xml:space="preserve"> </w:t>
      </w:r>
      <w:r>
        <w:t xml:space="preserve">Robotics Engineer</w:t>
      </w:r>
      <w:r>
        <w:t xml:space="preserve"> </w:t>
      </w:r>
      <w:r>
        <w:t xml:space="preserve">will be responsible for the design, integration, programming, testing, and commissioning of robotic systems tailored to the client's manufacturing and logistics workflows. All work will comply with the applicable Italian and European regulations, including the Machinery Directive 2006/42/EC, the Italian Legislative Decree 81/2008 on workplace safety, and the relevant ISO standards governing industrial robotics in the</w:t>
      </w:r>
      <w:r>
        <w:t xml:space="preserve"> </w:t>
      </w:r>
      <w:r>
        <w:t xml:space="preserve">Italy Milan</w:t>
      </w:r>
      <w:r>
        <w:t xml:space="preserve"> </w:t>
      </w:r>
      <w:r>
        <w:t xml:space="preserve">industrial corridor.</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perform the following activities within the</w:t>
      </w:r>
      <w:r>
        <w:t xml:space="preserve"> </w:t>
      </w:r>
      <w:r>
        <w:t xml:space="preserve">Italy Milan</w:t>
      </w:r>
      <w:r>
        <w:t xml:space="preserve"> </w:t>
      </w:r>
      <w:r>
        <w:t xml:space="preserve">operational environment:</w:t>
      </w:r>
    </w:p>
    <w:p>
      <w:pPr>
        <w:numPr>
          <w:ilvl w:val="0"/>
          <w:numId w:val="1001"/>
        </w:numPr>
        <w:pStyle w:val="Compact"/>
      </w:pPr>
      <w:r>
        <w:rPr>
          <w:bCs/>
          <w:b/>
        </w:rPr>
        <w:t xml:space="preserve">Requirements Analysis &amp; Feasibility Study:</w:t>
      </w:r>
      <w:r>
        <w:t xml:space="preserve"> </w:t>
      </w:r>
      <w:r>
        <w:t xml:space="preserve">Conduct on-site assessments at the client's facility in Italy Milan to evaluate current production lines, identify automation opportunities, and produce a detailed technical feasibility report for robotic integration.</w:t>
      </w:r>
    </w:p>
    <w:p>
      <w:pPr>
        <w:numPr>
          <w:ilvl w:val="0"/>
          <w:numId w:val="1001"/>
        </w:numPr>
        <w:pStyle w:val="Compact"/>
      </w:pPr>
      <w:r>
        <w:rPr>
          <w:bCs/>
          <w:b/>
        </w:rPr>
        <w:t xml:space="preserve">System Design &amp; Simulation:</w:t>
      </w:r>
      <w:r>
        <w:t xml:space="preserve"> </w:t>
      </w:r>
      <w:r>
        <w:t xml:space="preserve">Develop 3D CAD models and kinematic simulations of the proposed robotic cells using industry-standard software (e.g., ABB RobotStudio, Siemens NX MCD, or KUKA.Sim). All design documentation will be delivered in both English and Italian to facilitate local regulatory compliance in Italy Milan.</w:t>
      </w:r>
    </w:p>
    <w:p>
      <w:pPr>
        <w:numPr>
          <w:ilvl w:val="0"/>
          <w:numId w:val="1001"/>
        </w:numPr>
        <w:pStyle w:val="Compact"/>
      </w:pPr>
      <w:r>
        <w:rPr>
          <w:bCs/>
          <w:b/>
        </w:rPr>
        <w:t xml:space="preserve">Hardware Procurement Coordination:</w:t>
      </w:r>
      <w:r>
        <w:t xml:space="preserve"> </w:t>
      </w:r>
      <w:r>
        <w:t xml:space="preserve">Advise on the selection and procurement of robotic arms, end-effectors, safety scanners, PLCs, and peripheral equipment. The Robotics Engineer will liaise with approved suppliers and ensure all components meet CE marking requirements for the Italian market.</w:t>
      </w:r>
    </w:p>
    <w:p>
      <w:pPr>
        <w:numPr>
          <w:ilvl w:val="0"/>
          <w:numId w:val="1001"/>
        </w:numPr>
        <w:pStyle w:val="Compact"/>
      </w:pPr>
      <w:r>
        <w:rPr>
          <w:bCs/>
          <w:b/>
        </w:rPr>
        <w:t xml:space="preserve">Programming &amp; Integration:</w:t>
      </w:r>
      <w:r>
        <w:t xml:space="preserve"> </w:t>
      </w:r>
      <w:r>
        <w:t xml:space="preserve">Write, debug, and optimise control logic for the robotic systems. This includes PLC programming (Siemens TIA Portal, Allen-Bradley Studio 5000), robot controller programming, and integration with the client's existing MES/ERP infrastructure.</w:t>
      </w:r>
    </w:p>
    <w:p>
      <w:pPr>
        <w:numPr>
          <w:ilvl w:val="0"/>
          <w:numId w:val="1001"/>
        </w:numPr>
        <w:pStyle w:val="Compact"/>
      </w:pPr>
      <w:r>
        <w:rPr>
          <w:bCs/>
          <w:b/>
        </w:rPr>
        <w:t xml:space="preserve">On-Site Installation &amp; Commissioning:</w:t>
      </w:r>
      <w:r>
        <w:t xml:space="preserve"> </w:t>
      </w:r>
      <w:r>
        <w:t xml:space="preserve">Supervise and execute the physical installation of robotic cells at the client's premises in Italy Milan. Perform functional testing, safety validation, and performance benchmarking in accordance with the agreed acceptance criteria.</w:t>
      </w:r>
    </w:p>
    <w:p>
      <w:pPr>
        <w:numPr>
          <w:ilvl w:val="0"/>
          <w:numId w:val="1001"/>
        </w:numPr>
        <w:pStyle w:val="Compact"/>
      </w:pPr>
      <w:r>
        <w:rPr>
          <w:bCs/>
          <w:b/>
        </w:rPr>
        <w:t xml:space="preserve">Training &amp; Knowledge Transfer:</w:t>
      </w:r>
      <w:r>
        <w:t xml:space="preserve"> </w:t>
      </w:r>
      <w:r>
        <w:t xml:space="preserve">Deliver a minimum of 40 hours of hands-on training to the client's in-house maintenance and operations team, covering robot operation, basic troubleshooting, preventive maintenance schedules, and safety protocols specific to the Italy Milan site.</w:t>
      </w:r>
    </w:p>
    <w:p>
      <w:pPr>
        <w:numPr>
          <w:ilvl w:val="0"/>
          <w:numId w:val="1001"/>
        </w:numPr>
        <w:pStyle w:val="Compact"/>
      </w:pPr>
      <w:r>
        <w:rPr>
          <w:bCs/>
          <w:b/>
        </w:rPr>
        <w:t xml:space="preserve">Post-Commissioning Support:</w:t>
      </w:r>
      <w:r>
        <w:t xml:space="preserve"> </w:t>
      </w:r>
      <w:r>
        <w:t xml:space="preserve">Provide a 12-month warranty support window during which the Robotics Engineer will be available for remote diagnostics and up to five on-site visits in Italy Milan for corrective maintenance or performance tuning.</w:t>
      </w:r>
    </w:p>
    <w:bookmarkEnd w:id="22"/>
    <w:bookmarkStart w:id="23" w:name="financial-breakdown-quotation-estimate"/>
    <w:p>
      <w:pPr>
        <w:pStyle w:val="Heading2"/>
      </w:pPr>
      <w:r>
        <w:t xml:space="preserve">3. Financial Breakdown – Quotation Estimate</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w:t>
      </w:r>
      <w:r>
        <w:t xml:space="preserve"> </w:t>
      </w:r>
      <w:r>
        <w:t xml:space="preserve">Robotics Engineer</w:t>
      </w:r>
      <w:r>
        <w:t xml:space="preserve"> </w:t>
      </w:r>
      <w:r>
        <w:t xml:space="preserve">engagement in</w:t>
      </w:r>
      <w:r>
        <w:t xml:space="preserve"> </w:t>
      </w:r>
      <w:r>
        <w:t xml:space="preserve">Italy Milan</w:t>
      </w:r>
      <w:r>
        <w:t xml:space="preserve">. All amounts are expressed in Euros (EUR) and are exclusive of Italian Value Added Tax (IVA) at the current rate of 22%, which will be applied upon final invoicing.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Requirements Analysis &amp; Feasibility Study (on-site, Italy Milan)</w:t>
            </w:r>
          </w:p>
        </w:tc>
        <w:tc>
          <w:tcPr/>
          <w:p>
            <w:pPr>
              <w:pStyle w:val="Compact"/>
              <w:jc w:val="left"/>
            </w:pPr>
            <w:r>
              <w:t xml:space="preserve">10 working days</w:t>
            </w:r>
          </w:p>
        </w:tc>
        <w:tc>
          <w:tcPr/>
          <w:p>
            <w:pPr>
              <w:pStyle w:val="Compact"/>
              <w:jc w:val="left"/>
            </w:pPr>
            <w:r>
              <w:t xml:space="preserve">€ 1,200 / day</w:t>
            </w:r>
          </w:p>
        </w:tc>
        <w:tc>
          <w:tcPr/>
          <w:p>
            <w:pPr>
              <w:pStyle w:val="Compact"/>
              <w:jc w:val="left"/>
            </w:pPr>
            <w:r>
              <w:t xml:space="preserve">€ 12,000.00</w:t>
            </w:r>
          </w:p>
        </w:tc>
      </w:tr>
      <w:tr>
        <w:tc>
          <w:tcPr/>
          <w:p>
            <w:pPr>
              <w:pStyle w:val="Compact"/>
              <w:jc w:val="left"/>
            </w:pPr>
            <w:r>
              <w:t xml:space="preserve">2</w:t>
            </w:r>
          </w:p>
        </w:tc>
        <w:tc>
          <w:tcPr/>
          <w:p>
            <w:pPr>
              <w:pStyle w:val="Compact"/>
              <w:jc w:val="left"/>
            </w:pPr>
            <w:r>
              <w:t xml:space="preserve">System Design, CAD Modelling &amp; Kinematic Simulation</w:t>
            </w:r>
          </w:p>
        </w:tc>
        <w:tc>
          <w:tcPr/>
          <w:p>
            <w:pPr>
              <w:pStyle w:val="Compact"/>
              <w:jc w:val="left"/>
            </w:pPr>
            <w:r>
              <w:t xml:space="preserve">20 working days</w:t>
            </w:r>
          </w:p>
        </w:tc>
        <w:tc>
          <w:tcPr/>
          <w:p>
            <w:pPr>
              <w:pStyle w:val="Compact"/>
              <w:jc w:val="left"/>
            </w:pPr>
            <w:r>
              <w:t xml:space="preserve">€ 1,100 / day</w:t>
            </w:r>
          </w:p>
        </w:tc>
        <w:tc>
          <w:tcPr/>
          <w:p>
            <w:pPr>
              <w:pStyle w:val="Compact"/>
              <w:jc w:val="left"/>
            </w:pPr>
            <w:r>
              <w:t xml:space="preserve">€ 22,000.00</w:t>
            </w:r>
          </w:p>
        </w:tc>
      </w:tr>
      <w:tr>
        <w:tc>
          <w:tcPr/>
          <w:p>
            <w:pPr>
              <w:pStyle w:val="Compact"/>
              <w:jc w:val="left"/>
            </w:pPr>
            <w:r>
              <w:t xml:space="preserve">3</w:t>
            </w:r>
          </w:p>
        </w:tc>
        <w:tc>
          <w:tcPr/>
          <w:p>
            <w:pPr>
              <w:pStyle w:val="Compact"/>
              <w:jc w:val="left"/>
            </w:pPr>
            <w:r>
              <w:t xml:space="preserve">Hardware Procurement Advisory &amp; Supplier Coordination</w:t>
            </w:r>
          </w:p>
        </w:tc>
        <w:tc>
          <w:tcPr/>
          <w:p>
            <w:pPr>
              <w:pStyle w:val="Compact"/>
              <w:jc w:val="left"/>
            </w:pPr>
            <w:r>
              <w:t xml:space="preserve">5 working days</w:t>
            </w:r>
          </w:p>
        </w:tc>
        <w:tc>
          <w:tcPr/>
          <w:p>
            <w:pPr>
              <w:pStyle w:val="Compact"/>
              <w:jc w:val="left"/>
            </w:pPr>
            <w:r>
              <w:t xml:space="preserve">€ 1,000 / day</w:t>
            </w:r>
          </w:p>
        </w:tc>
        <w:tc>
          <w:tcPr/>
          <w:p>
            <w:pPr>
              <w:pStyle w:val="Compact"/>
              <w:jc w:val="left"/>
            </w:pPr>
            <w:r>
              <w:t xml:space="preserve">€ 5,000.00</w:t>
            </w:r>
          </w:p>
        </w:tc>
      </w:tr>
      <w:tr>
        <w:tc>
          <w:tcPr/>
          <w:p>
            <w:pPr>
              <w:pStyle w:val="Compact"/>
              <w:jc w:val="left"/>
            </w:pPr>
            <w:r>
              <w:t xml:space="preserve">4</w:t>
            </w:r>
          </w:p>
        </w:tc>
        <w:tc>
          <w:tcPr/>
          <w:p>
            <w:pPr>
              <w:pStyle w:val="Compact"/>
              <w:jc w:val="left"/>
            </w:pPr>
            <w:r>
              <w:t xml:space="preserve">Robot &amp; PLC Programming, Integration &amp; Debugging</w:t>
            </w:r>
          </w:p>
        </w:tc>
        <w:tc>
          <w:tcPr/>
          <w:p>
            <w:pPr>
              <w:pStyle w:val="Compact"/>
              <w:jc w:val="left"/>
            </w:pPr>
            <w:r>
              <w:t xml:space="preserve">30 working days</w:t>
            </w:r>
          </w:p>
        </w:tc>
        <w:tc>
          <w:tcPr/>
          <w:p>
            <w:pPr>
              <w:pStyle w:val="Compact"/>
              <w:jc w:val="left"/>
            </w:pPr>
            <w:r>
              <w:t xml:space="preserve">€ 1,150 / day</w:t>
            </w:r>
          </w:p>
        </w:tc>
        <w:tc>
          <w:tcPr/>
          <w:p>
            <w:pPr>
              <w:pStyle w:val="Compact"/>
              <w:jc w:val="left"/>
            </w:pPr>
            <w:r>
              <w:t xml:space="preserve">€ 34,500.00</w:t>
            </w:r>
          </w:p>
        </w:tc>
      </w:tr>
      <w:tr>
        <w:tc>
          <w:tcPr/>
          <w:p>
            <w:pPr>
              <w:pStyle w:val="Compact"/>
              <w:jc w:val="left"/>
            </w:pPr>
            <w:r>
              <w:t xml:space="preserve">5</w:t>
            </w:r>
          </w:p>
        </w:tc>
        <w:tc>
          <w:tcPr/>
          <w:p>
            <w:pPr>
              <w:pStyle w:val="Compact"/>
              <w:jc w:val="left"/>
            </w:pPr>
            <w:r>
              <w:t xml:space="preserve">On-Site Installation, Commissioning &amp; Safety Validation (Italy Milan)</w:t>
            </w:r>
          </w:p>
        </w:tc>
        <w:tc>
          <w:tcPr/>
          <w:p>
            <w:pPr>
              <w:pStyle w:val="Compact"/>
              <w:jc w:val="left"/>
            </w:pPr>
            <w:r>
              <w:t xml:space="preserve">15 working days</w:t>
            </w:r>
          </w:p>
        </w:tc>
        <w:tc>
          <w:tcPr/>
          <w:p>
            <w:pPr>
              <w:pStyle w:val="Compact"/>
              <w:jc w:val="left"/>
            </w:pPr>
            <w:r>
              <w:t xml:space="preserve">€ 1,300 / day</w:t>
            </w:r>
          </w:p>
        </w:tc>
        <w:tc>
          <w:tcPr/>
          <w:p>
            <w:pPr>
              <w:pStyle w:val="Compact"/>
              <w:jc w:val="left"/>
            </w:pPr>
            <w:r>
              <w:t xml:space="preserve">€ 19,500.00</w:t>
            </w:r>
          </w:p>
        </w:tc>
      </w:tr>
      <w:tr>
        <w:tc>
          <w:tcPr/>
          <w:p>
            <w:pPr>
              <w:pStyle w:val="Compact"/>
              <w:jc w:val="left"/>
            </w:pPr>
            <w:r>
              <w:t xml:space="preserve">6</w:t>
            </w:r>
          </w:p>
        </w:tc>
        <w:tc>
          <w:tcPr/>
          <w:p>
            <w:pPr>
              <w:pStyle w:val="Compact"/>
              <w:jc w:val="left"/>
            </w:pPr>
            <w:r>
              <w:t xml:space="preserve">Training &amp; Knowledge Transfer (40 hours, Italy Milan)</w:t>
            </w:r>
          </w:p>
        </w:tc>
        <w:tc>
          <w:tcPr/>
          <w:p>
            <w:pPr>
              <w:pStyle w:val="Compact"/>
              <w:jc w:val="left"/>
            </w:pPr>
            <w:r>
              <w:t xml:space="preserve">5 working days</w:t>
            </w:r>
          </w:p>
        </w:tc>
        <w:tc>
          <w:tcPr/>
          <w:p>
            <w:pPr>
              <w:pStyle w:val="Compact"/>
              <w:jc w:val="left"/>
            </w:pPr>
            <w:r>
              <w:t xml:space="preserve">€ 950 / day</w:t>
            </w:r>
          </w:p>
        </w:tc>
        <w:tc>
          <w:tcPr/>
          <w:p>
            <w:pPr>
              <w:pStyle w:val="Compact"/>
              <w:jc w:val="left"/>
            </w:pPr>
            <w:r>
              <w:t xml:space="preserve">€ 4,750.00</w:t>
            </w:r>
          </w:p>
        </w:tc>
      </w:tr>
      <w:tr>
        <w:tc>
          <w:tcPr/>
          <w:p>
            <w:pPr>
              <w:pStyle w:val="Compact"/>
              <w:jc w:val="left"/>
            </w:pPr>
            <w:r>
              <w:t xml:space="preserve">7</w:t>
            </w:r>
          </w:p>
        </w:tc>
        <w:tc>
          <w:tcPr/>
          <w:p>
            <w:pPr>
              <w:pStyle w:val="Compact"/>
              <w:jc w:val="left"/>
            </w:pPr>
            <w:r>
              <w:t xml:space="preserve">Post-Commissioning Warranty Support (12 months, up to 5 on-site visits)</w:t>
            </w:r>
          </w:p>
        </w:tc>
        <w:tc>
          <w:tcPr/>
          <w:p>
            <w:pPr>
              <w:pStyle w:val="Compact"/>
              <w:jc w:val="left"/>
            </w:pPr>
            <w:r>
              <w:t xml:space="preserve">12 months</w:t>
            </w:r>
          </w:p>
        </w:tc>
        <w:tc>
          <w:tcPr/>
          <w:p>
            <w:pPr>
              <w:pStyle w:val="Compact"/>
              <w:jc w:val="left"/>
            </w:pPr>
            <w:r>
              <w:t xml:space="preserve">€ 1,500 / visit + € 2,000 retainer</w:t>
            </w:r>
          </w:p>
        </w:tc>
        <w:tc>
          <w:tcPr/>
          <w:p>
            <w:pPr>
              <w:pStyle w:val="Compact"/>
              <w:jc w:val="left"/>
            </w:pPr>
            <w:r>
              <w:t xml:space="preserve">€ 9,500.00</w:t>
            </w:r>
          </w:p>
        </w:tc>
      </w:tr>
      <w:tr>
        <w:tc>
          <w:tcPr/>
          <w:p>
            <w:pPr>
              <w:pStyle w:val="Compact"/>
              <w:jc w:val="left"/>
            </w:pPr>
            <w:r>
              <w:t xml:space="preserve">8</w:t>
            </w:r>
          </w:p>
        </w:tc>
        <w:tc>
          <w:tcPr/>
          <w:p>
            <w:pPr>
              <w:pStyle w:val="Compact"/>
              <w:jc w:val="left"/>
            </w:pPr>
            <w:r>
              <w:t xml:space="preserve">Travel, Accommodation &amp; Local Transport within Italy Milan metro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€ 3,250.00</w:t>
            </w:r>
          </w:p>
        </w:tc>
      </w:tr>
      <w:tr>
        <w:tc>
          <w:tcPr>
            <w:gridSpan w:val="4"/>
          </w:tcPr>
          <w:p>
            <w:pPr>
              <w:pStyle w:val="Compact"/>
              <w:jc w:val="right"/>
            </w:pPr>
            <w:r>
              <w:t xml:space="preserve">TOTAL (excl. 22% IVA)</w:t>
            </w:r>
          </w:p>
        </w:tc>
        <w:tc>
          <w:tcPr/>
          <w:p>
            <w:pPr>
              <w:pStyle w:val="Compact"/>
              <w:jc w:val="left"/>
            </w:pPr>
            <w:r>
              <w:t xml:space="preserve">€ 110,500.00</w:t>
            </w:r>
          </w:p>
        </w:tc>
      </w:tr>
      <w:tr>
        <w:tc>
          <w:tcPr>
            <w:gridSpan w:val="4"/>
          </w:tcPr>
          <w:p>
            <w:pPr>
              <w:pStyle w:val="Compact"/>
              <w:jc w:val="right"/>
            </w:pPr>
            <w:r>
              <w:t xml:space="preserve">Italian VAT (IVA) – 22%</w:t>
            </w:r>
          </w:p>
        </w:tc>
        <w:tc>
          <w:tcPr/>
          <w:p>
            <w:pPr>
              <w:pStyle w:val="Compact"/>
              <w:jc w:val="left"/>
            </w:pPr>
            <w:r>
              <w:t xml:space="preserve">€ 24,310.00</w:t>
            </w:r>
          </w:p>
        </w:tc>
      </w:tr>
      <w:tr>
        <w:tc>
          <w:tcPr>
            <w:gridSpan w:val="4"/>
          </w:tcPr>
          <w:p>
            <w:pPr>
              <w:pStyle w:val="Compact"/>
              <w:jc w:val="right"/>
            </w:pPr>
            <w:r>
              <w:t xml:space="preserve">GRAND TOTAL (incl. IVA)</w:t>
            </w:r>
          </w:p>
        </w:tc>
        <w:tc>
          <w:tcPr/>
          <w:p>
            <w:pPr>
              <w:pStyle w:val="Compact"/>
              <w:jc w:val="left"/>
            </w:pPr>
            <w:r>
              <w:t xml:space="preserve">€ 134,810.00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signature, 40% upon successful completion of the programming and integration phase, and 30% upon final commissioning sign-off and delivery of all as-built documentation. Invoices will be issued in accordance with Italian invoicing regulations (fatturazione elettronica) and are payable within 30 days of the invoice date via bank transfer to the account details provided by TechNova Engineering Solutions S.r.l., Milan, Italy.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90 calendar days from the date of issue. Beyond this period, pricing may be subject to revision due to market fluctuations in the</w:t>
      </w:r>
      <w:r>
        <w:t xml:space="preserve"> </w:t>
      </w:r>
      <w:r>
        <w:t xml:space="preserve">Italy Milan</w:t>
      </w:r>
      <w:r>
        <w:t xml:space="preserve"> </w:t>
      </w:r>
      <w:r>
        <w:t xml:space="preserve">engineering labour market or changes in component costs.</w:t>
      </w:r>
    </w:p>
    <w:p>
      <w:pPr>
        <w:numPr>
          <w:ilvl w:val="0"/>
          <w:numId w:val="1002"/>
        </w:numPr>
        <w:pStyle w:val="Compact"/>
      </w:pPr>
      <w:r>
        <w:t xml:space="preserve">The</w:t>
      </w:r>
      <w:r>
        <w:t xml:space="preserve"> </w:t>
      </w:r>
      <w:r>
        <w:t xml:space="preserve">Robotics Engineer</w:t>
      </w:r>
      <w:r>
        <w:t xml:space="preserve"> </w:t>
      </w:r>
      <w:r>
        <w:t xml:space="preserve">assigned to this project will be a qualified professional holding a minimum of 8 years of experience in industrial robotics, with demonstrated expertise in multi-axis robotic cell design and integration. The specific candidate's CV will be shared with the client prior to the commencement of work.</w:t>
      </w:r>
    </w:p>
    <w:p>
      <w:pPr>
        <w:numPr>
          <w:ilvl w:val="0"/>
          <w:numId w:val="1002"/>
        </w:numPr>
        <w:pStyle w:val="Compact"/>
      </w:pPr>
      <w:r>
        <w:t xml:space="preserve">All intellectual property generated specifically for the client under this engagement, including custom robot programmes, PLC code, and design drawings, shall become the exclusive property of the client upon full payment. General methodologies, templates, and pre-existing IP of TechNova Engineering Solutions S.r.l. remain the property of the provider.</w:t>
      </w:r>
    </w:p>
    <w:p>
      <w:pPr>
        <w:numPr>
          <w:ilvl w:val="0"/>
          <w:numId w:val="1002"/>
        </w:numPr>
        <w:pStyle w:val="Compact"/>
      </w:pPr>
      <w:r>
        <w:t xml:space="preserve">The client agrees to provide the</w:t>
      </w:r>
      <w:r>
        <w:t xml:space="preserve"> </w:t>
      </w:r>
      <w:r>
        <w:t xml:space="preserve">Robotics Engineer</w:t>
      </w:r>
      <w:r>
        <w:t xml:space="preserve"> </w:t>
      </w:r>
      <w:r>
        <w:t xml:space="preserve">with safe access to the</w:t>
      </w:r>
      <w:r>
        <w:t xml:space="preserve"> </w:t>
      </w:r>
      <w:r>
        <w:t xml:space="preserve">Italy Milan</w:t>
      </w:r>
      <w:r>
        <w:t xml:space="preserve"> </w:t>
      </w:r>
      <w:r>
        <w:t xml:space="preserve">facility, appropriate PPE, and all necessary site-specific safety inductions in compliance with Italian occupational health and safety law (D.Lgs. 81/2008).</w:t>
      </w:r>
    </w:p>
    <w:p>
      <w:pPr>
        <w:numPr>
          <w:ilvl w:val="0"/>
          <w:numId w:val="1002"/>
        </w:numPr>
        <w:pStyle w:val="Compact"/>
      </w:pPr>
      <w:r>
        <w:t xml:space="preserve">Any changes to the scope of work beyond 10% of the originally estimated effort will require a formal variation order, to be agreed in writing by both parties, and will be priced at the applicable daily rate specified in this</w:t>
      </w:r>
      <w:r>
        <w:t xml:space="preserve"> </w:t>
      </w:r>
      <w:r>
        <w:t xml:space="preserve">Quotation Estimate</w:t>
      </w:r>
      <w:r>
        <w:t xml:space="preserve">.</w:t>
      </w:r>
    </w:p>
    <w:p>
      <w:pPr>
        <w:numPr>
          <w:ilvl w:val="0"/>
          <w:numId w:val="1002"/>
        </w:numPr>
        <w:pStyle w:val="Compact"/>
      </w:pPr>
      <w:r>
        <w:t xml:space="preserve">Disputes arising from this engagement shall be governed by the laws of the Italian Republic and shall be subject to the exclusive jurisdiction of the competent courts of</w:t>
      </w:r>
      <w:r>
        <w:t xml:space="preserve"> </w:t>
      </w:r>
      <w:r>
        <w:t xml:space="preserve">Italy Milan</w:t>
      </w:r>
      <w:r>
        <w:t xml:space="preserve">.</w:t>
      </w:r>
    </w:p>
    <w:p>
      <w:pPr>
        <w:numPr>
          <w:ilvl w:val="0"/>
          <w:numId w:val="1002"/>
        </w:numPr>
        <w:pStyle w:val="Compact"/>
      </w:pPr>
      <w:r>
        <w:t xml:space="preserve">Confidentiality: Both parties agree to maintain strict confidentiality regarding all technical, commercial, and operational information exchanged during the course of this project. This obligation survives the termination of the contract for a period of three (3) years.</w:t>
      </w:r>
    </w:p>
    <w:bookmarkEnd w:id="25"/>
    <w:bookmarkStart w:id="26" w:name="acceptance"/>
    <w:p>
      <w:pPr>
        <w:pStyle w:val="Heading2"/>
      </w:pPr>
      <w:r>
        <w:t xml:space="preserve">6. Acceptance</w:t>
      </w:r>
    </w:p>
    <w:p>
      <w:pPr>
        <w:pStyle w:val="FirstParagraph"/>
      </w:pPr>
      <w:r>
        <w:t xml:space="preserve">By signing below, the client acknowledges that it has read, understood, and accepts all terms, conditions, and pricing outlined in this</w:t>
      </w:r>
      <w:r>
        <w:t xml:space="preserve"> </w:t>
      </w:r>
      <w:r>
        <w:t xml:space="preserve">Quotation Estimate</w:t>
      </w:r>
      <w:r>
        <w:t xml:space="preserve"> </w:t>
      </w:r>
      <w:r>
        <w:t xml:space="preserve">for the</w:t>
      </w:r>
      <w:r>
        <w:t xml:space="preserve"> </w:t>
      </w:r>
      <w:r>
        <w:t xml:space="preserve">Robotics Engineer</w:t>
      </w:r>
      <w:r>
        <w:t xml:space="preserve"> </w:t>
      </w:r>
      <w:r>
        <w:t xml:space="preserve">services to be delivered in</w:t>
      </w:r>
      <w:r>
        <w:t xml:space="preserve"> </w:t>
      </w:r>
      <w:r>
        <w:t xml:space="preserve">Italy Milan</w:t>
      </w:r>
      <w:r>
        <w:t xml:space="preserve">. This signature constitutes a binding agreement between the parties.</w:t>
      </w:r>
    </w:p>
    <w:p>
      <w:pPr>
        <w:pStyle w:val="BodyText"/>
      </w:pPr>
      <w:r>
        <w:rPr>
          <w:bCs/>
          <w:b/>
        </w:rPr>
        <w:t xml:space="preserve">For TechNova Engineering Solutions S.r.l.</w:t>
      </w:r>
    </w:p>
    <w:p>
      <w:pPr>
        <w:pStyle w:val="BodyText"/>
      </w:pPr>
      <w:r>
        <w:t xml:space="preserve">Authorised Signatory – Name, Title, Date</w:t>
      </w:r>
    </w:p>
    <w:p>
      <w:pPr>
        <w:pStyle w:val="BodyText"/>
      </w:pPr>
      <w:r>
        <w:rPr>
          <w:bCs/>
          <w:b/>
        </w:rPr>
        <w:t xml:space="preserve">For the Client</w:t>
      </w:r>
    </w:p>
    <w:p>
      <w:pPr>
        <w:pStyle w:val="BodyText"/>
      </w:pPr>
      <w:r>
        <w:t xml:space="preserve">Authorised Signatory – Name, Title, Date</w:t>
      </w:r>
    </w:p>
    <w:p>
      <w:pPr>
        <w:pStyle w:val="BodyText"/>
      </w:pPr>
      <w:r>
        <w:rPr>
          <w:bCs/>
          <w:b/>
        </w:rPr>
        <w:t xml:space="preserve">Note:</w:t>
      </w:r>
      <w:r>
        <w:t xml:space="preserve"> </w:t>
      </w:r>
      <w:r>
        <w:t xml:space="preserve">This Quotation Estimate is a non-binding proposal until formally accepted in writing by both parties. All figures are estimates based on the information available at the time of preparation. TechNova Engineering Solutions S.r.l. reserves the right to amend this Quotation Estimate in the event of material changes to project scope, regulatory requirements in Italy Milan, or force majeure circumstances. For any queries regarding this document, please contact our project office in Milan at +39 02 XXXX XXXX or via email at quotations@technova-eng.it.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Italy Milan</dc:title>
  <dc:creator/>
  <dc:language>en</dc:language>
  <cp:keywords/>
  <dcterms:created xsi:type="dcterms:W3CDTF">2026-10-10T01:15:41Z</dcterms:created>
  <dcterms:modified xsi:type="dcterms:W3CDTF">2026-10-10T01:15:41Z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