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Robotics</w:t>
      </w:r>
      <w:r>
        <w:t xml:space="preserve"> </w:t>
      </w:r>
      <w:r>
        <w:t xml:space="preserve">Engineer</w:t>
      </w:r>
      <w:r>
        <w:t xml:space="preserve"> </w:t>
      </w:r>
      <w:r>
        <w:t xml:space="preserve">Services</w:t>
      </w:r>
      <w:r>
        <w:t xml:space="preserve"> </w:t>
      </w:r>
      <w:r>
        <w:t xml:space="preserve">-</w:t>
      </w:r>
      <w:r>
        <w:t xml:space="preserve"> </w:t>
      </w:r>
      <w:r>
        <w:t xml:space="preserve">Japan</w:t>
      </w:r>
      <w:r>
        <w:t xml:space="preserve"> </w:t>
      </w:r>
      <w:r>
        <w:t xml:space="preserve">Osaka</w:t>
      </w:r>
    </w:p>
    <w:bookmarkStart w:id="20" w:name="quotation-estimate"/>
    <w:p>
      <w:pPr>
        <w:pStyle w:val="Heading1"/>
      </w:pPr>
      <w:r>
        <w:t xml:space="preserve">QUOTATION ESTIMATE</w:t>
      </w:r>
    </w:p>
    <w:p>
      <w:pPr>
        <w:pStyle w:val="FirstParagraph"/>
      </w:pPr>
      <w:r>
        <w:t xml:space="preserve">Professional Robotics Engineer Services — Japan Osaka</w:t>
      </w:r>
    </w:p>
    <w:p>
      <w:pPr>
        <w:pStyle w:val="BodyText"/>
      </w:pPr>
      <w:r>
        <w:t xml:space="preserve">Document Reference: QE-ROB-OSK-2025-0047</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Prepared By:</w:t>
            </w:r>
          </w:p>
        </w:tc>
        <w:tc>
          <w:tcPr/>
          <w:p>
            <w:pPr>
              <w:pStyle w:val="Compact"/>
              <w:jc w:val="left"/>
            </w:pPr>
            <w:r>
              <w:t xml:space="preserve">Osaka Advanced Robotics Solutions Co., Ltd.</w:t>
            </w:r>
          </w:p>
        </w:tc>
      </w:tr>
      <w:tr>
        <w:tc>
          <w:tcPr/>
          <w:p>
            <w:pPr>
              <w:pStyle w:val="Compact"/>
              <w:jc w:val="left"/>
            </w:pPr>
            <w:r>
              <w:t xml:space="preserve">Address:</w:t>
            </w:r>
          </w:p>
        </w:tc>
        <w:tc>
          <w:tcPr/>
          <w:p>
            <w:pPr>
              <w:pStyle w:val="Compact"/>
              <w:jc w:val="left"/>
            </w:pPr>
            <w:r>
              <w:t xml:space="preserve">3-2-1 Nakanoshima, Kita-ku, Osaka 530-0003, Japan</w:t>
            </w:r>
          </w:p>
        </w:tc>
      </w:tr>
      <w:tr>
        <w:tc>
          <w:tcPr/>
          <w:p>
            <w:pPr>
              <w:pStyle w:val="Compact"/>
              <w:jc w:val="left"/>
            </w:pPr>
            <w:r>
              <w:t xml:space="preserve">Client:</w:t>
            </w:r>
          </w:p>
        </w:tc>
        <w:tc>
          <w:tcPr/>
          <w:p>
            <w:pPr>
              <w:pStyle w:val="Compact"/>
              <w:jc w:val="left"/>
            </w:pPr>
            <w:r>
              <w:t xml:space="preserve">[Client Company Name], [Client Address]</w:t>
            </w:r>
          </w:p>
        </w:tc>
      </w:tr>
      <w:tr>
        <w:tc>
          <w:tcPr/>
          <w:p>
            <w:pPr>
              <w:pStyle w:val="Compact"/>
              <w:jc w:val="left"/>
            </w:pPr>
            <w:r>
              <w:t xml:space="preserve">Date of Issue:</w:t>
            </w:r>
          </w:p>
        </w:tc>
        <w:tc>
          <w:tcPr/>
          <w:p>
            <w:pPr>
              <w:pStyle w:val="Compact"/>
              <w:jc w:val="left"/>
            </w:pPr>
            <w:r>
              <w:t xml:space="preserve">June 15, 2025</w:t>
            </w:r>
          </w:p>
        </w:tc>
      </w:tr>
      <w:tr>
        <w:tc>
          <w:tcPr/>
          <w:p>
            <w:pPr>
              <w:pStyle w:val="Compact"/>
              <w:jc w:val="left"/>
            </w:pPr>
            <w:r>
              <w:t xml:space="preserve">Valid Until:</w:t>
            </w:r>
          </w:p>
        </w:tc>
        <w:tc>
          <w:tcPr/>
          <w:p>
            <w:pPr>
              <w:pStyle w:val="Compact"/>
              <w:jc w:val="left"/>
            </w:pPr>
            <w:r>
              <w:t xml:space="preserve">July 15, 2025 (30 days from date of issue)</w:t>
            </w:r>
          </w:p>
        </w:tc>
      </w:tr>
      <w:tr>
        <w:tc>
          <w:tcPr/>
          <w:p>
            <w:pPr>
              <w:pStyle w:val="Compact"/>
              <w:jc w:val="left"/>
            </w:pPr>
            <w:r>
              <w:t xml:space="preserve">Project Location:</w:t>
            </w:r>
          </w:p>
        </w:tc>
        <w:tc>
          <w:tcPr/>
          <w:p>
            <w:pPr>
              <w:pStyle w:val="Compact"/>
              <w:jc w:val="left"/>
            </w:pPr>
            <w:r>
              <w:t xml:space="preserve">Japan Osaka — Industrial Zone, Sakai City, Osaka Prefecture</w:t>
            </w:r>
          </w:p>
        </w:tc>
      </w:tr>
    </w:tbl>
    <w:bookmarkStart w:id="21" w:name="purpose-of-this-quotation-estimate"/>
    <w:p>
      <w:pPr>
        <w:pStyle w:val="Heading2"/>
      </w:pPr>
      <w:r>
        <w:t xml:space="preserve">1. Purpose of This Quotation Estimate</w:t>
      </w:r>
    </w:p>
    <w:p>
      <w:pPr>
        <w:pStyle w:val="FirstParagraph"/>
      </w:pPr>
      <w:r>
        <w:t xml:space="preserve">This Quotation Estimate is issued by Osaka Advanced Robotics Solutions Co., Ltd. to formally present the cost structure, scope of engagement, and professional deliverables associated with the deployment of a certified Robotics Engineer in Japan Osaka. This document serves as the primary financial and operational reference for the client to evaluate the proposed services. All figures contained within this Quotation Estimate are denominated in Japanese Yen (JPY) unless otherwise specified, and are subject to the terms and conditions outlined in Section 7.</w:t>
      </w:r>
    </w:p>
    <w:bookmarkEnd w:id="21"/>
    <w:bookmarkStart w:id="22" w:name="Xcaaf4e7675281bbf9ae059d42f67e0d6d3033f8"/>
    <w:p>
      <w:pPr>
        <w:pStyle w:val="Heading2"/>
      </w:pPr>
      <w:r>
        <w:t xml:space="preserve">2. Scope of Services — Robotics Engineer Engagement</w:t>
      </w:r>
    </w:p>
    <w:p>
      <w:pPr>
        <w:pStyle w:val="FirstParagraph"/>
      </w:pPr>
      <w:r>
        <w:t xml:space="preserve">The Robotics Engineer proposed under this Quotation Estimate will be a senior-level professional with a minimum of eight (8) years of hands-on experience in industrial automation, collaborative robotics (cobot) integration, and mechatronic system design. The Robotics Engineer will be physically stationed in Japan Osaka for the duration of the contracted period and will report directly to the client's project management office located in the Sakai industrial district.</w:t>
      </w:r>
    </w:p>
    <w:p>
      <w:pPr>
        <w:pStyle w:val="BodyText"/>
      </w:pPr>
      <w:r>
        <w:t xml:space="preserve">The scope of work for the Robotics Engineer includes, but is not limited to, the following activities:</w:t>
      </w:r>
    </w:p>
    <w:p>
      <w:pPr>
        <w:numPr>
          <w:ilvl w:val="0"/>
          <w:numId w:val="1001"/>
        </w:numPr>
        <w:pStyle w:val="Compact"/>
      </w:pPr>
      <w:r>
        <w:t xml:space="preserve">Design, programming, and commissioning of six-axis industrial robotic arms for automotive assembly lines in Japan Osaka.</w:t>
      </w:r>
    </w:p>
    <w:p>
      <w:pPr>
        <w:numPr>
          <w:ilvl w:val="0"/>
          <w:numId w:val="1001"/>
        </w:numPr>
        <w:pStyle w:val="Compact"/>
      </w:pPr>
      <w:r>
        <w:t xml:space="preserve">Integration of vision-based inspection systems and end-of-arm tooling for precision manufacturing tasks.</w:t>
      </w:r>
    </w:p>
    <w:p>
      <w:pPr>
        <w:numPr>
          <w:ilvl w:val="0"/>
          <w:numId w:val="1001"/>
        </w:numPr>
        <w:pStyle w:val="Compact"/>
      </w:pPr>
      <w:r>
        <w:t xml:space="preserve">Development of PLC (Programmable Logic Controller) interfaces and HMI (Human-Machine Interface) dashboards for real-time monitoring.</w:t>
      </w:r>
    </w:p>
    <w:p>
      <w:pPr>
        <w:numPr>
          <w:ilvl w:val="0"/>
          <w:numId w:val="1001"/>
        </w:numPr>
        <w:pStyle w:val="Compact"/>
      </w:pPr>
      <w:r>
        <w:t xml:space="preserve">Conducting FMEA (Failure Mode and Effects Analysis) and safety compliance audits in accordance with JIS B 8433 and ISO 10218 standards applicable in Japan Osaka.</w:t>
      </w:r>
    </w:p>
    <w:p>
      <w:pPr>
        <w:numPr>
          <w:ilvl w:val="0"/>
          <w:numId w:val="1001"/>
        </w:numPr>
        <w:pStyle w:val="Compact"/>
      </w:pPr>
      <w:r>
        <w:t xml:space="preserve">Providing on-site training to the client's in-house maintenance team on robotic system operation, troubleshooting, and preventive maintenance protocols.</w:t>
      </w:r>
    </w:p>
    <w:p>
      <w:pPr>
        <w:numPr>
          <w:ilvl w:val="0"/>
          <w:numId w:val="1001"/>
        </w:numPr>
        <w:pStyle w:val="Compact"/>
      </w:pPr>
      <w:r>
        <w:t xml:space="preserve">Preparing comprehensive technical documentation, including as-built drawings, wiring schematics, and operational manuals in both Japanese and English.</w:t>
      </w:r>
    </w:p>
    <w:bookmarkEnd w:id="22"/>
    <w:bookmarkStart w:id="23" w:name="detailed-cost-breakdown"/>
    <w:p>
      <w:pPr>
        <w:pStyle w:val="Heading2"/>
      </w:pPr>
      <w:r>
        <w:t xml:space="preserve">3. Detailed Cost Breakdown</w:t>
      </w:r>
    </w:p>
    <w:p>
      <w:pPr>
        <w:pStyle w:val="FirstParagraph"/>
      </w:pPr>
      <w:r>
        <w:t xml:space="preserve">The following table constitutes the itemized pricing for this Quotation Estimate. All rates reflect the specialized expertise of the Robotics Engineer and the operational costs associated with delivering services within the Japan Osaka metropolitan area.</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Duration / Qty</w:t>
            </w:r>
          </w:p>
        </w:tc>
        <w:tc>
          <w:tcPr/>
          <w:p>
            <w:pPr>
              <w:pStyle w:val="Compact"/>
              <w:jc w:val="left"/>
            </w:pPr>
            <w:r>
              <w:t xml:space="preserve">Unit Rate (JPY)</w:t>
            </w:r>
          </w:p>
        </w:tc>
        <w:tc>
          <w:tcPr/>
          <w:p>
            <w:pPr>
              <w:pStyle w:val="Compact"/>
              <w:jc w:val="left"/>
            </w:pPr>
            <w:r>
              <w:t xml:space="preserve">Subtotal (JPY)</w:t>
            </w:r>
          </w:p>
        </w:tc>
      </w:tr>
      <w:tr>
        <w:tc>
          <w:tcPr/>
          <w:p>
            <w:pPr>
              <w:pStyle w:val="Compact"/>
              <w:jc w:val="left"/>
            </w:pPr>
            <w:r>
              <w:t xml:space="preserve">01</w:t>
            </w:r>
          </w:p>
        </w:tc>
        <w:tc>
          <w:tcPr/>
          <w:p>
            <w:pPr>
              <w:pStyle w:val="Compact"/>
              <w:jc w:val="left"/>
            </w:pPr>
            <w:r>
              <w:t xml:space="preserve">Robotics Engineer — Senior Consultant (on-site, Japan Osaka)</w:t>
            </w:r>
          </w:p>
        </w:tc>
        <w:tc>
          <w:tcPr/>
          <w:p>
            <w:pPr>
              <w:pStyle w:val="Compact"/>
              <w:jc w:val="left"/>
            </w:pPr>
            <w:r>
              <w:t xml:space="preserve">120 days</w:t>
            </w:r>
          </w:p>
        </w:tc>
        <w:tc>
          <w:tcPr/>
          <w:p>
            <w:pPr>
              <w:pStyle w:val="Compact"/>
              <w:jc w:val="left"/>
            </w:pPr>
            <w:r>
              <w:t xml:space="preserve">185,000</w:t>
            </w:r>
          </w:p>
        </w:tc>
        <w:tc>
          <w:tcPr/>
          <w:p>
            <w:pPr>
              <w:pStyle w:val="Compact"/>
              <w:jc w:val="left"/>
            </w:pPr>
            <w:r>
              <w:t xml:space="preserve">22,200,000</w:t>
            </w:r>
          </w:p>
        </w:tc>
      </w:tr>
      <w:tr>
        <w:tc>
          <w:tcPr/>
          <w:p>
            <w:pPr>
              <w:pStyle w:val="Compact"/>
              <w:jc w:val="left"/>
            </w:pPr>
            <w:r>
              <w:t xml:space="preserve">02</w:t>
            </w:r>
          </w:p>
        </w:tc>
        <w:tc>
          <w:tcPr/>
          <w:p>
            <w:pPr>
              <w:pStyle w:val="Compact"/>
              <w:jc w:val="left"/>
            </w:pPr>
            <w:r>
              <w:t xml:space="preserve">Robotics Engineer — System Design &amp; Programming (cobot integration)</w:t>
            </w:r>
          </w:p>
        </w:tc>
        <w:tc>
          <w:tcPr/>
          <w:p>
            <w:pPr>
              <w:pStyle w:val="Compact"/>
              <w:jc w:val="left"/>
            </w:pPr>
            <w:r>
              <w:t xml:space="preserve">400 hours</w:t>
            </w:r>
          </w:p>
        </w:tc>
        <w:tc>
          <w:tcPr/>
          <w:p>
            <w:pPr>
              <w:pStyle w:val="Compact"/>
              <w:jc w:val="left"/>
            </w:pPr>
            <w:r>
              <w:t xml:space="preserve">12,500</w:t>
            </w:r>
          </w:p>
        </w:tc>
        <w:tc>
          <w:tcPr/>
          <w:p>
            <w:pPr>
              <w:pStyle w:val="Compact"/>
              <w:jc w:val="left"/>
            </w:pPr>
            <w:r>
              <w:t xml:space="preserve">5,000,000</w:t>
            </w:r>
          </w:p>
        </w:tc>
      </w:tr>
      <w:tr>
        <w:tc>
          <w:tcPr/>
          <w:p>
            <w:pPr>
              <w:pStyle w:val="Compact"/>
              <w:jc w:val="left"/>
            </w:pPr>
            <w:r>
              <w:t xml:space="preserve">03</w:t>
            </w:r>
          </w:p>
        </w:tc>
        <w:tc>
          <w:tcPr/>
          <w:p>
            <w:pPr>
              <w:pStyle w:val="Compact"/>
              <w:jc w:val="left"/>
            </w:pPr>
            <w:r>
              <w:t xml:space="preserve">PLC / HMI Interface Development &amp; Commissioning</w:t>
            </w:r>
          </w:p>
        </w:tc>
        <w:tc>
          <w:tcPr/>
          <w:p>
            <w:pPr>
              <w:pStyle w:val="Compact"/>
              <w:jc w:val="left"/>
            </w:pPr>
            <w:r>
              <w:t xml:space="preserve">250 hours</w:t>
            </w:r>
          </w:p>
        </w:tc>
        <w:tc>
          <w:tcPr/>
          <w:p>
            <w:pPr>
              <w:pStyle w:val="Compact"/>
              <w:jc w:val="left"/>
            </w:pPr>
            <w:r>
              <w:t xml:space="preserve">11,000</w:t>
            </w:r>
          </w:p>
        </w:tc>
        <w:tc>
          <w:tcPr/>
          <w:p>
            <w:pPr>
              <w:pStyle w:val="Compact"/>
              <w:jc w:val="left"/>
            </w:pPr>
            <w:r>
              <w:t xml:space="preserve">2,750,000</w:t>
            </w:r>
          </w:p>
        </w:tc>
      </w:tr>
      <w:tr>
        <w:tc>
          <w:tcPr/>
          <w:p>
            <w:pPr>
              <w:pStyle w:val="Compact"/>
              <w:jc w:val="left"/>
            </w:pPr>
            <w:r>
              <w:t xml:space="preserve">04</w:t>
            </w:r>
          </w:p>
        </w:tc>
        <w:tc>
          <w:tcPr/>
          <w:p>
            <w:pPr>
              <w:pStyle w:val="Compact"/>
              <w:jc w:val="left"/>
            </w:pPr>
            <w:r>
              <w:t xml:space="preserve">Safety Compliance Audit (JIS B 8433 / ISO 10218) — Japan Osaka site</w:t>
            </w:r>
          </w:p>
        </w:tc>
        <w:tc>
          <w:tcPr/>
          <w:p>
            <w:pPr>
              <w:pStyle w:val="Compact"/>
              <w:jc w:val="left"/>
            </w:pPr>
            <w:r>
              <w:t xml:space="preserve">2 visits</w:t>
            </w:r>
          </w:p>
        </w:tc>
        <w:tc>
          <w:tcPr/>
          <w:p>
            <w:pPr>
              <w:pStyle w:val="Compact"/>
              <w:jc w:val="left"/>
            </w:pPr>
            <w:r>
              <w:t xml:space="preserve">450,000</w:t>
            </w:r>
          </w:p>
        </w:tc>
        <w:tc>
          <w:tcPr/>
          <w:p>
            <w:pPr>
              <w:pStyle w:val="Compact"/>
              <w:jc w:val="left"/>
            </w:pPr>
            <w:r>
              <w:t xml:space="preserve">900,000</w:t>
            </w:r>
          </w:p>
        </w:tc>
      </w:tr>
      <w:tr>
        <w:tc>
          <w:tcPr/>
          <w:p>
            <w:pPr>
              <w:pStyle w:val="Compact"/>
              <w:jc w:val="left"/>
            </w:pPr>
            <w:r>
              <w:t xml:space="preserve">05</w:t>
            </w:r>
          </w:p>
        </w:tc>
        <w:tc>
          <w:tcPr/>
          <w:p>
            <w:pPr>
              <w:pStyle w:val="Compact"/>
              <w:jc w:val="left"/>
            </w:pPr>
            <w:r>
              <w:t xml:space="preserve">On-site Training Program for Client Staff (up to 12 personnel)</w:t>
            </w:r>
          </w:p>
        </w:tc>
        <w:tc>
          <w:tcPr/>
          <w:p>
            <w:pPr>
              <w:pStyle w:val="Compact"/>
              <w:jc w:val="left"/>
            </w:pPr>
            <w:r>
              <w:t xml:space="preserve">5 days</w:t>
            </w:r>
          </w:p>
        </w:tc>
        <w:tc>
          <w:tcPr/>
          <w:p>
            <w:pPr>
              <w:pStyle w:val="Compact"/>
              <w:jc w:val="left"/>
            </w:pPr>
            <w:r>
              <w:t xml:space="preserve">320,000</w:t>
            </w:r>
          </w:p>
        </w:tc>
        <w:tc>
          <w:tcPr/>
          <w:p>
            <w:pPr>
              <w:pStyle w:val="Compact"/>
              <w:jc w:val="left"/>
            </w:pPr>
            <w:r>
              <w:t xml:space="preserve">1,600,000</w:t>
            </w:r>
          </w:p>
        </w:tc>
      </w:tr>
      <w:tr>
        <w:tc>
          <w:tcPr/>
          <w:p>
            <w:pPr>
              <w:pStyle w:val="Compact"/>
              <w:jc w:val="left"/>
            </w:pPr>
            <w:r>
              <w:t xml:space="preserve">06</w:t>
            </w:r>
          </w:p>
        </w:tc>
        <w:tc>
          <w:tcPr/>
          <w:p>
            <w:pPr>
              <w:pStyle w:val="Compact"/>
              <w:jc w:val="left"/>
            </w:pPr>
            <w:r>
              <w:t xml:space="preserve">Technical Documentation &amp; As-Built Deliverables (JP/EN)</w:t>
            </w:r>
          </w:p>
        </w:tc>
        <w:tc>
          <w:tcPr/>
          <w:p>
            <w:pPr>
              <w:pStyle w:val="Compact"/>
              <w:jc w:val="left"/>
            </w:pPr>
            <w:r>
              <w:t xml:space="preserve">1 set</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07</w:t>
            </w:r>
          </w:p>
        </w:tc>
        <w:tc>
          <w:tcPr/>
          <w:p>
            <w:pPr>
              <w:pStyle w:val="Compact"/>
              <w:jc w:val="left"/>
            </w:pPr>
            <w:r>
              <w:t xml:space="preserve">Travel &amp; Accommodation within Japan Osaka Prefecture</w:t>
            </w:r>
          </w:p>
        </w:tc>
        <w:tc>
          <w:tcPr/>
          <w:p>
            <w:pPr>
              <w:pStyle w:val="Compact"/>
              <w:jc w:val="left"/>
            </w:pPr>
            <w:r>
              <w:t xml:space="preserve">120 days</w:t>
            </w:r>
          </w:p>
        </w:tc>
        <w:tc>
          <w:tcPr/>
          <w:p>
            <w:pPr>
              <w:pStyle w:val="Compact"/>
              <w:jc w:val="left"/>
            </w:pPr>
            <w:r>
              <w:t xml:space="preserve">18,000</w:t>
            </w:r>
          </w:p>
        </w:tc>
        <w:tc>
          <w:tcPr/>
          <w:p>
            <w:pPr>
              <w:pStyle w:val="Compact"/>
              <w:jc w:val="left"/>
            </w:pPr>
            <w:r>
              <w:t xml:space="preserve">2,160,000</w:t>
            </w:r>
          </w:p>
        </w:tc>
      </w:tr>
      <w:tr>
        <w:tc>
          <w:tcPr/>
          <w:p>
            <w:pPr>
              <w:pStyle w:val="Compact"/>
              <w:jc w:val="left"/>
            </w:pPr>
            <w:r>
              <w:t xml:space="preserve">08</w:t>
            </w:r>
          </w:p>
        </w:tc>
        <w:tc>
          <w:tcPr/>
          <w:p>
            <w:pPr>
              <w:pStyle w:val="Compact"/>
              <w:jc w:val="left"/>
            </w:pPr>
            <w:r>
              <w:t xml:space="preserve">Project Management &amp; Coordination Overhead</w:t>
            </w:r>
          </w:p>
        </w:tc>
        <w:tc>
          <w:tcPr/>
          <w:p>
            <w:pPr>
              <w:pStyle w:val="Compact"/>
              <w:jc w:val="left"/>
            </w:pPr>
            <w:r>
              <w:t xml:space="preserve">Full term</w:t>
            </w:r>
          </w:p>
        </w:tc>
        <w:tc>
          <w:tcPr/>
          <w:p>
            <w:pPr>
              <w:pStyle w:val="Compact"/>
              <w:jc w:val="left"/>
            </w:pPr>
            <w:r>
              <w:t xml:space="preserve">—</w:t>
            </w:r>
          </w:p>
        </w:tc>
        <w:tc>
          <w:tcPr/>
          <w:p>
            <w:pPr>
              <w:pStyle w:val="Compact"/>
              <w:jc w:val="left"/>
            </w:pPr>
            <w:r>
              <w:t xml:space="preserve">1,500,000</w:t>
            </w:r>
          </w:p>
        </w:tc>
      </w:tr>
      <w:tr>
        <w:tc>
          <w:tcPr>
            <w:gridSpan w:val="4"/>
          </w:tcPr>
          <w:p>
            <w:pPr>
              <w:pStyle w:val="Compact"/>
              <w:jc w:val="left"/>
            </w:pPr>
            <w:r>
              <w:t xml:space="preserve">TOTAL ESTIMATED COST (before tax)</w:t>
            </w:r>
          </w:p>
        </w:tc>
        <w:tc>
          <w:tcPr/>
          <w:p>
            <w:pPr>
              <w:pStyle w:val="Compact"/>
              <w:jc w:val="left"/>
            </w:pPr>
            <w:r>
              <w:t xml:space="preserve">36,960,000</w:t>
            </w:r>
          </w:p>
        </w:tc>
      </w:tr>
      <w:tr>
        <w:tc>
          <w:tcPr>
            <w:gridSpan w:val="4"/>
          </w:tcPr>
          <w:p>
            <w:pPr>
              <w:pStyle w:val="Compact"/>
              <w:jc w:val="left"/>
            </w:pPr>
            <w:r>
              <w:t xml:space="preserve">Consumption Tax (10%)</w:t>
            </w:r>
          </w:p>
        </w:tc>
        <w:tc>
          <w:tcPr/>
          <w:p>
            <w:pPr>
              <w:pStyle w:val="Compact"/>
              <w:jc w:val="left"/>
            </w:pPr>
            <w:r>
              <w:t xml:space="preserve">3,696,000</w:t>
            </w:r>
          </w:p>
        </w:tc>
      </w:tr>
      <w:tr>
        <w:tc>
          <w:tcPr>
            <w:gridSpan w:val="4"/>
          </w:tcPr>
          <w:p>
            <w:pPr>
              <w:pStyle w:val="Compact"/>
              <w:jc w:val="left"/>
            </w:pPr>
            <w:r>
              <w:t xml:space="preserve">GRAND TOTAL (JPY)</w:t>
            </w:r>
          </w:p>
        </w:tc>
        <w:tc>
          <w:tcPr/>
          <w:p>
            <w:pPr>
              <w:pStyle w:val="Compact"/>
              <w:jc w:val="left"/>
            </w:pPr>
            <w:r>
              <w:t xml:space="preserve">40,656,000</w:t>
            </w:r>
          </w:p>
        </w:tc>
      </w:tr>
    </w:tbl>
    <w:bookmarkEnd w:id="23"/>
    <w:bookmarkStart w:id="24" w:name="payment-terms"/>
    <w:p>
      <w:pPr>
        <w:pStyle w:val="Heading2"/>
      </w:pPr>
      <w:r>
        <w:t xml:space="preserve">4. Payment Terms</w:t>
      </w:r>
    </w:p>
    <w:p>
      <w:pPr>
        <w:pStyle w:val="FirstParagraph"/>
      </w:pPr>
      <w:r>
        <w:t xml:space="preserve">Payment for the services described in this Quotation Estimate shall be made in three (3) installments: 30% upon contract execution, 40% upon completion of the Robotics Engineer's primary commissioning phase, and the remaining 30% upon final acceptance and delivery of all documentation. All payments shall be remitted via bank transfer to the account designated by Osaka Advanced Robotics Solutions Co., Ltd. Late payments shall incur a surcharge of 1.5% per month as stipulated under Japanese commercial law.</w:t>
      </w:r>
    </w:p>
    <w:bookmarkEnd w:id="24"/>
    <w:bookmarkStart w:id="25" w:name="assumptions-and-exclusions"/>
    <w:p>
      <w:pPr>
        <w:pStyle w:val="Heading2"/>
      </w:pPr>
      <w:r>
        <w:t xml:space="preserve">5. Assumptions and Exclusions</w:t>
      </w:r>
    </w:p>
    <w:p>
      <w:pPr>
        <w:pStyle w:val="FirstParagraph"/>
      </w:pPr>
      <w:r>
        <w:rPr>
          <w:bCs/>
          <w:b/>
        </w:rPr>
        <w:t xml:space="preserve">Important Note:</w:t>
      </w:r>
      <w:r>
        <w:t xml:space="preserve"> </w:t>
      </w:r>
      <w:r>
        <w:t xml:space="preserve">This Quotation Estimate assumes that the client will provide a suitable, climate-controlled workspace in Japan Osaka with adequate power supply (3-phase, 200V) and network connectivity. The cost of robotic hardware (arms, controllers, sensors) is excluded from this estimate and will be quoted separately. Any scope changes exceeding 10% of the original Robotics Engineer workload will require a revised Quotation Estimate and mutual written approval before additional work commences.</w:t>
      </w:r>
    </w:p>
    <w:bookmarkEnd w:id="25"/>
    <w:bookmarkStart w:id="26" w:name="validity-and-acceptance"/>
    <w:p>
      <w:pPr>
        <w:pStyle w:val="Heading2"/>
      </w:pPr>
      <w:r>
        <w:t xml:space="preserve">6. Validity and Acceptance</w:t>
      </w:r>
    </w:p>
    <w:p>
      <w:pPr>
        <w:pStyle w:val="FirstParagraph"/>
      </w:pPr>
      <w:r>
        <w:t xml:space="preserve">This Quotation Estimate remains valid for thirty (30) calendar days from the date of issue. Acceptance of this Quotation Estimate constitutes a binding agreement between the parties. The Robotics Engineer's start date is contingent upon the client's written confirmation and the completion of all necessary visa and work-permit procedures for operations in Japan Osaka.</w:t>
      </w:r>
    </w:p>
    <w:bookmarkEnd w:id="26"/>
    <w:bookmarkStart w:id="27" w:name="terms-and-conditions"/>
    <w:p>
      <w:pPr>
        <w:pStyle w:val="Heading2"/>
      </w:pPr>
      <w:r>
        <w:t xml:space="preserve">7. Terms and Conditions</w:t>
      </w:r>
    </w:p>
    <w:p>
      <w:pPr>
        <w:pStyle w:val="FirstParagraph"/>
      </w:pPr>
      <w:r>
        <w:t xml:space="preserve">All services rendered under this Quotation Estimate are governed by the laws of Japan. Any disputes arising from the engagement of the Robotics Engineer shall be resolved through arbitration in Osaka, Japan Osaka, in accordance with the rules of the Osaka Arbitration Center. The Robotics Engineer shall maintain professional liability insurance with a minimum coverage of 100,000,000 JPY throughout the engagement period. Confidentiality obligations as defined in the attached Non-Disclosure Agreement (NDA) shall survive the termination of this contract for a period of three (3) years.</w:t>
      </w:r>
    </w:p>
    <w:bookmarkEnd w:id="27"/>
    <w:bookmarkStart w:id="28" w:name="acceptance-and-authorization"/>
    <w:p>
      <w:pPr>
        <w:pStyle w:val="Heading2"/>
      </w:pPr>
      <w:r>
        <w:t xml:space="preserve">8. Acceptance and Authorization</w:t>
      </w:r>
    </w:p>
    <w:p>
      <w:pPr>
        <w:pStyle w:val="FirstParagraph"/>
      </w:pPr>
      <w:r>
        <w:t xml:space="preserve">By signing below, the client acknowledges receipt of this Quotation Estimate and agrees to the terms, scope, and pricing outlined herein for the Robotics Engineer services to be delivered in Japan Osaka.</w:t>
      </w:r>
    </w:p>
    <w:p>
      <w:pPr>
        <w:pStyle w:val="BodyText"/>
      </w:pPr>
      <w:r>
        <w:rPr>
          <w:bCs/>
          <w:b/>
        </w:rPr>
        <w:t xml:space="preserve">For Osaka Advanced Robotics Solutions Co., Ltd.</w:t>
      </w:r>
    </w:p>
    <w:p>
      <w:pPr>
        <w:pStyle w:val="BodyText"/>
      </w:pPr>
      <w:r>
        <w:t xml:space="preserve">Name: _________________________</w:t>
      </w:r>
    </w:p>
    <w:p>
      <w:pPr>
        <w:pStyle w:val="BodyText"/>
      </w:pPr>
      <w:r>
        <w:t xml:space="preserve">Title: Chief Engineer</w:t>
      </w:r>
    </w:p>
    <w:p>
      <w:pPr>
        <w:pStyle w:val="BodyText"/>
      </w:pPr>
      <w:r>
        <w:t xml:space="preserve">Date: _________________________</w:t>
      </w:r>
    </w:p>
    <w:p>
      <w:pPr>
        <w:pStyle w:val="BodyText"/>
      </w:pPr>
      <w:r>
        <w:t xml:space="preserve">Signature: _________________________</w:t>
      </w:r>
    </w:p>
    <w:p>
      <w:pPr>
        <w:pStyle w:val="BodyText"/>
      </w:pPr>
      <w:r>
        <w:rPr>
          <w:bCs/>
          <w:b/>
        </w:rPr>
        <w:t xml:space="preserve">For the Client</w:t>
      </w:r>
    </w:p>
    <w:p>
      <w:pPr>
        <w:pStyle w:val="BodyText"/>
      </w:pPr>
      <w:r>
        <w:t xml:space="preserve">Name: _________________________</w:t>
      </w:r>
    </w:p>
    <w:p>
      <w:pPr>
        <w:pStyle w:val="BodyText"/>
      </w:pPr>
      <w:r>
        <w:t xml:space="preserve">Title: _________________________</w:t>
      </w:r>
    </w:p>
    <w:p>
      <w:pPr>
        <w:pStyle w:val="BodyText"/>
      </w:pPr>
      <w:r>
        <w:t xml:space="preserve">Date: _________________________</w:t>
      </w:r>
    </w:p>
    <w:p>
      <w:pPr>
        <w:pStyle w:val="BodyText"/>
      </w:pPr>
      <w:r>
        <w:t xml:space="preserve">Signature: _________________________</w:t>
      </w:r>
    </w:p>
    <w:p>
      <w:pPr>
        <w:pStyle w:val="BodyText"/>
      </w:pPr>
      <w:r>
        <w:t xml:space="preserve">Osaka Advanced Robotics Solutions Co., Ltd. | 3-2-1 Nakanoshima, Kita-ku, Osaka 530-0003, Japan | Tel: +81-6-XXXX-XXXX | Email: quotes@osaka-robotics.co.jp</w:t>
      </w:r>
    </w:p>
    <w:p>
      <w:pPr>
        <w:pStyle w:val="BodyText"/>
      </w:pPr>
      <w:r>
        <w:t xml:space="preserve">This Quotation Estimate is a confidential document intended solely for the named client. Unauthorized reproduction or distribution is prohibited.</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Robotics Engineer Services - Japan Osaka</dc:title>
  <dc:creator/>
  <dc:language>en</dc:language>
  <cp:keywords/>
  <dcterms:created xsi:type="dcterms:W3CDTF">2026-10-10T01:52:34Z</dcterms:created>
  <dcterms:modified xsi:type="dcterms:W3CDTF">2026-10-10T01:52:34Z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