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Advanced Robotics &amp; Automation Solutions LLC</w:t>
      </w:r>
    </w:p>
    <w:p>
      <w:pPr>
        <w:pStyle w:val="BodyText"/>
      </w:pPr>
      <w:r>
        <w:t xml:space="preserve">Office 412, Al Hamra Tower, Al Hamra District, Kuwait Kuwait City</w:t>
      </w:r>
    </w:p>
    <w:p>
      <w:pPr>
        <w:pStyle w:val="BodyText"/>
      </w:pPr>
      <w:r>
        <w:t xml:space="preserve">Tel: +965-2244-7890 | Email: estimates@advancedrobotics-kw.com</w:t>
      </w:r>
    </w:p>
    <w:p>
      <w:pPr>
        <w:pStyle w:val="BodyText"/>
      </w:pPr>
      <w:r>
        <w:t xml:space="preserve">Commercial Registration No. 184729 | VAT No. 1234567890001</w:t>
      </w:r>
    </w:p>
    <w:bookmarkEnd w:id="20"/>
    <w:p>
      <w:pPr>
        <w:pStyle w:val="BodyText"/>
      </w:pPr>
      <w:r>
        <w:rPr>
          <w:bCs/>
          <w:b/>
        </w:rPr>
        <w:t xml:space="preserve">Quotation Estimate No.:</w:t>
      </w:r>
      <w:r>
        <w:t xml:space="preserve"> </w:t>
      </w:r>
      <w:r>
        <w:t xml:space="preserve">QE-2025-KW-0472</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Kuwait National Industrial Development Co.</w:t>
      </w:r>
      <w:r>
        <w:br/>
      </w:r>
      <w:r>
        <w:t xml:space="preserve">P.O. Box 5521, Salmiya, Kuwait Kuwait City</w:t>
      </w:r>
      <w:r>
        <w:br/>
      </w:r>
      <w:r>
        <w:t xml:space="preserve">Attn: Eng. Khalid Al-Mubarak, Project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Advanced Robotics &amp; Automation Solutions LLC to provide a comprehensive and itemized cost breakdown for the engagement of a senior</w:t>
      </w:r>
      <w:r>
        <w:t xml:space="preserve"> </w:t>
      </w:r>
      <w:r>
        <w:t xml:space="preserve">Robotics Engineer</w:t>
      </w:r>
      <w:r>
        <w:t xml:space="preserve"> </w:t>
      </w:r>
      <w:r>
        <w:t xml:space="preserve">to deliver specialized design, integration, and commissioning services for an automated assembly line at the client's manufacturing facility located in</w:t>
      </w:r>
      <w:r>
        <w:t xml:space="preserve"> </w:t>
      </w:r>
      <w:r>
        <w:t xml:space="preserve">Kuwait Kuwait City</w:t>
      </w:r>
      <w:r>
        <w:t xml:space="preserve">. This document serves as a binding financial proposal and outlines all professional fees, material costs, travel allowances, and ancillary charges associated with the project scope described herein.</w:t>
      </w:r>
    </w:p>
    <w:bookmarkEnd w:id="21"/>
    <w:bookmarkStart w:id="22" w:name="Xc8dccfa577b5ea2e05d1f5b36d67395217739e9"/>
    <w:p>
      <w:pPr>
        <w:pStyle w:val="Heading2"/>
      </w:pPr>
      <w:r>
        <w:t xml:space="preserve">2. Scope of Work – Robotics Engineer Engagement</w:t>
      </w:r>
    </w:p>
    <w:p>
      <w:pPr>
        <w:pStyle w:val="FirstParagraph"/>
      </w:pPr>
      <w:r>
        <w:t xml:space="preserve">The</w:t>
      </w:r>
      <w:r>
        <w:t xml:space="preserve"> </w:t>
      </w:r>
      <w:r>
        <w:t xml:space="preserve">Robotics Engineer</w:t>
      </w:r>
      <w:r>
        <w:t xml:space="preserve"> </w:t>
      </w:r>
      <w:r>
        <w:t xml:space="preserve">assigned to this project will be responsible for the following deliverables at the client's premises in</w:t>
      </w:r>
      <w:r>
        <w:t xml:space="preserve"> </w:t>
      </w:r>
      <w:r>
        <w:t xml:space="preserve">Kuwait Kuwait City</w:t>
      </w:r>
      <w:r>
        <w:t xml:space="preserve">:</w:t>
      </w:r>
    </w:p>
    <w:p>
      <w:pPr>
        <w:numPr>
          <w:ilvl w:val="0"/>
          <w:numId w:val="1001"/>
        </w:numPr>
        <w:pStyle w:val="Compact"/>
      </w:pPr>
      <w:r>
        <w:t xml:space="preserve">Conduct a full site assessment and feasibility study of the existing production line at the Salmiya industrial zone, Kuwait Kuwait City.</w:t>
      </w:r>
    </w:p>
    <w:p>
      <w:pPr>
        <w:numPr>
          <w:ilvl w:val="0"/>
          <w:numId w:val="1001"/>
        </w:numPr>
        <w:pStyle w:val="Compact"/>
      </w:pPr>
      <w:r>
        <w:t xml:space="preserve">Design and program a six-axis industrial robotic arm (KUKA KR-210) for precision welding and material handling operations.</w:t>
      </w:r>
    </w:p>
    <w:p>
      <w:pPr>
        <w:numPr>
          <w:ilvl w:val="0"/>
          <w:numId w:val="1001"/>
        </w:numPr>
        <w:pStyle w:val="Compact"/>
      </w:pPr>
      <w:r>
        <w:t xml:space="preserve">Integrate the robotic system with the client's existing SCADA and PLC infrastructure using Profinet and EtherCAT protocols.</w:t>
      </w:r>
    </w:p>
    <w:p>
      <w:pPr>
        <w:numPr>
          <w:ilvl w:val="0"/>
          <w:numId w:val="1001"/>
        </w:numPr>
        <w:pStyle w:val="Compact"/>
      </w:pPr>
      <w:r>
        <w:t xml:space="preserve">Develop custom end-effectors and tooling specific to the client's product specifications.</w:t>
      </w:r>
    </w:p>
    <w:p>
      <w:pPr>
        <w:numPr>
          <w:ilvl w:val="0"/>
          <w:numId w:val="1001"/>
        </w:numPr>
        <w:pStyle w:val="Compact"/>
      </w:pPr>
      <w:r>
        <w:t xml:space="preserve">Perform commissioning, safety validation (ISO 10218-1 compliance), and operator training for a minimum of twelve (12) plant personnel.</w:t>
      </w:r>
    </w:p>
    <w:p>
      <w:pPr>
        <w:numPr>
          <w:ilvl w:val="0"/>
          <w:numId w:val="1001"/>
        </w:numPr>
        <w:pStyle w:val="Compact"/>
      </w:pPr>
      <w:r>
        <w:t xml:space="preserve">Provide a 90-day post-commissioning warranty and remote technical support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Robotics Engineer – Professional Consultation &amp; Site Assessment (Kuwait Kuwait City)</w:t>
            </w:r>
          </w:p>
        </w:tc>
        <w:tc>
          <w:tcPr/>
          <w:p>
            <w:pPr>
              <w:pStyle w:val="Compact"/>
              <w:jc w:val="left"/>
            </w:pPr>
            <w:r>
              <w:t xml:space="preserve">Day</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02</w:t>
            </w:r>
          </w:p>
        </w:tc>
        <w:tc>
          <w:tcPr/>
          <w:p>
            <w:pPr>
              <w:pStyle w:val="Compact"/>
              <w:jc w:val="left"/>
            </w:pPr>
            <w:r>
              <w:t xml:space="preserve">Robotics Engineer – System Design, Programming &amp; Integration</w:t>
            </w:r>
          </w:p>
        </w:tc>
        <w:tc>
          <w:tcPr/>
          <w:p>
            <w:pPr>
              <w:pStyle w:val="Compact"/>
              <w:jc w:val="left"/>
            </w:pPr>
            <w:r>
              <w:t xml:space="preserve">Week</w:t>
            </w:r>
          </w:p>
        </w:tc>
        <w:tc>
          <w:tcPr/>
          <w:p>
            <w:pPr>
              <w:pStyle w:val="Compact"/>
              <w:jc w:val="left"/>
            </w:pPr>
            <w:r>
              <w:t xml:space="preserve">6</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03</w:t>
            </w:r>
          </w:p>
        </w:tc>
        <w:tc>
          <w:tcPr/>
          <w:p>
            <w:pPr>
              <w:pStyle w:val="Compact"/>
              <w:jc w:val="left"/>
            </w:pPr>
            <w:r>
              <w:t xml:space="preserve">Robotics Engineer – Commissioning, Safety Validation &amp; Training</w:t>
            </w:r>
          </w:p>
        </w:tc>
        <w:tc>
          <w:tcPr/>
          <w:p>
            <w:pPr>
              <w:pStyle w:val="Compact"/>
              <w:jc w:val="left"/>
            </w:pPr>
            <w:r>
              <w:t xml:space="preserve">Week</w:t>
            </w:r>
          </w:p>
        </w:tc>
        <w:tc>
          <w:tcPr/>
          <w:p>
            <w:pPr>
              <w:pStyle w:val="Compact"/>
              <w:jc w:val="left"/>
            </w:pPr>
            <w:r>
              <w:t xml:space="preserve">3</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Custom End-Executor Fabrication &amp; Tooling (Aluminium 6061-T6)</w:t>
            </w:r>
          </w:p>
        </w:tc>
        <w:tc>
          <w:tcPr/>
          <w:p>
            <w:pPr>
              <w:pStyle w:val="Compact"/>
              <w:jc w:val="left"/>
            </w:pPr>
            <w:r>
              <w:t xml:space="preserve">Set</w:t>
            </w:r>
          </w:p>
        </w:tc>
        <w:tc>
          <w:tcPr/>
          <w:p>
            <w:pPr>
              <w:pStyle w:val="Compact"/>
              <w:jc w:val="left"/>
            </w:pPr>
            <w:r>
              <w:t xml:space="preserve">2</w:t>
            </w:r>
          </w:p>
        </w:tc>
        <w:tc>
          <w:tcPr/>
          <w:p>
            <w:pPr>
              <w:pStyle w:val="Compact"/>
              <w:jc w:val="left"/>
            </w:pPr>
            <w:r>
              <w:t xml:space="preserve">2,150.000</w:t>
            </w:r>
          </w:p>
        </w:tc>
        <w:tc>
          <w:tcPr/>
          <w:p>
            <w:pPr>
              <w:pStyle w:val="Compact"/>
              <w:jc w:val="left"/>
            </w:pPr>
            <w:r>
              <w:t xml:space="preserve">4,300.000</w:t>
            </w:r>
          </w:p>
        </w:tc>
      </w:tr>
      <w:tr>
        <w:tc>
          <w:tcPr/>
          <w:p>
            <w:pPr>
              <w:pStyle w:val="Compact"/>
              <w:jc w:val="left"/>
            </w:pPr>
            <w:r>
              <w:t xml:space="preserve">05</w:t>
            </w:r>
          </w:p>
        </w:tc>
        <w:tc>
          <w:tcPr/>
          <w:p>
            <w:pPr>
              <w:pStyle w:val="Compact"/>
              <w:jc w:val="left"/>
            </w:pPr>
            <w:r>
              <w:t xml:space="preserve">Industrial Robotic Arm – KUKA KR-210 R2700 (Supply &amp; Installation)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06</w:t>
            </w:r>
          </w:p>
        </w:tc>
        <w:tc>
          <w:tcPr/>
          <w:p>
            <w:pPr>
              <w:pStyle w:val="Compact"/>
              <w:jc w:val="left"/>
            </w:pPr>
            <w:r>
              <w:t xml:space="preserve">SCADA/PLC Integration Hardware (Siemens S7-1500, HMI Panels, I/O Modules)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07</w:t>
            </w:r>
          </w:p>
        </w:tc>
        <w:tc>
          <w:tcPr/>
          <w:p>
            <w:pPr>
              <w:pStyle w:val="Compact"/>
              <w:jc w:val="left"/>
            </w:pPr>
            <w:r>
              <w:t xml:space="preserve">Travel, Accommodation &amp; Per Diem – Robotics Engineer (Kuwait Kuwait City, 12 weeks)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Post-Commissioning Warranty &amp; Remote Support (90 days)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09</w:t>
            </w:r>
          </w:p>
        </w:tc>
        <w:tc>
          <w:tcPr/>
          <w:p>
            <w:pPr>
              <w:pStyle w:val="Compact"/>
              <w:jc w:val="left"/>
            </w:pPr>
            <w:r>
              <w:t xml:space="preserve">Technical Documentation, As-Built Drawings &amp; O&amp;M Manuals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98,050.000</w:t>
            </w:r>
          </w:p>
        </w:tc>
      </w:tr>
      <w:tr>
        <w:tc>
          <w:tcPr>
            <w:gridSpan w:val="5"/>
          </w:tcPr>
          <w:p>
            <w:pPr>
              <w:pStyle w:val="Compact"/>
              <w:jc w:val="left"/>
            </w:pPr>
            <w:r>
              <w:t xml:space="preserve">VAT (14% – Kuwait Tax Authority)</w:t>
            </w:r>
          </w:p>
        </w:tc>
        <w:tc>
          <w:tcPr/>
          <w:p>
            <w:pPr>
              <w:pStyle w:val="Compact"/>
              <w:jc w:val="left"/>
            </w:pPr>
            <w:r>
              <w:t xml:space="preserve">13,727.000</w:t>
            </w:r>
          </w:p>
        </w:tc>
      </w:tr>
      <w:tr>
        <w:tc>
          <w:tcPr>
            <w:gridSpan w:val="5"/>
          </w:tcPr>
          <w:p>
            <w:pPr>
              <w:pStyle w:val="Compact"/>
              <w:jc w:val="left"/>
            </w:pPr>
            <w:r>
              <w:t xml:space="preserve">GRAND TOTAL (KWD)</w:t>
            </w:r>
          </w:p>
        </w:tc>
        <w:tc>
          <w:tcPr/>
          <w:p>
            <w:pPr>
              <w:pStyle w:val="Compact"/>
              <w:jc w:val="left"/>
            </w:pPr>
            <w:r>
              <w:t xml:space="preserve">111,777.000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(KWD)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30%</w:t>
            </w:r>
          </w:p>
        </w:tc>
        <w:tc>
          <w:tcPr/>
          <w:p>
            <w:pPr>
              <w:pStyle w:val="Compact"/>
              <w:jc w:val="left"/>
            </w:pPr>
            <w:r>
              <w:t xml:space="preserve">33,533.100</w:t>
            </w:r>
          </w:p>
        </w:tc>
        <w:tc>
          <w:tcPr/>
          <w:p>
            <w:pPr>
              <w:pStyle w:val="Compact"/>
              <w:jc w:val="left"/>
            </w:pPr>
            <w:r>
              <w:t xml:space="preserve">Upon PO issuance</w:t>
            </w:r>
          </w:p>
        </w:tc>
      </w:tr>
      <w:tr>
        <w:tc>
          <w:tcPr/>
          <w:p>
            <w:pPr>
              <w:pStyle w:val="Compact"/>
              <w:jc w:val="left"/>
            </w:pPr>
            <w:r>
              <w:t xml:space="preserve">Design &amp; Programming Completion</w:t>
            </w:r>
          </w:p>
        </w:tc>
        <w:tc>
          <w:tcPr/>
          <w:p>
            <w:pPr>
              <w:pStyle w:val="Compact"/>
              <w:jc w:val="left"/>
            </w:pPr>
            <w:r>
              <w:t xml:space="preserve">30%</w:t>
            </w:r>
          </w:p>
        </w:tc>
        <w:tc>
          <w:tcPr/>
          <w:p>
            <w:pPr>
              <w:pStyle w:val="Compact"/>
              <w:jc w:val="left"/>
            </w:pPr>
            <w:r>
              <w:t xml:space="preserve">33,533.100</w:t>
            </w:r>
          </w:p>
        </w:tc>
        <w:tc>
          <w:tcPr/>
          <w:p>
            <w:pPr>
              <w:pStyle w:val="Compact"/>
              <w:jc w:val="left"/>
            </w:pPr>
            <w:r>
              <w:t xml:space="preserve">Week 8</w:t>
            </w:r>
          </w:p>
        </w:tc>
      </w:tr>
      <w:tr>
        <w:tc>
          <w:tcPr/>
          <w:p>
            <w:pPr>
              <w:pStyle w:val="Compact"/>
              <w:jc w:val="left"/>
            </w:pPr>
            <w:r>
              <w:t xml:space="preserve">Commissioning &amp; Training Completion</w:t>
            </w:r>
          </w:p>
        </w:tc>
        <w:tc>
          <w:tcPr/>
          <w:p>
            <w:pPr>
              <w:pStyle w:val="Compact"/>
              <w:jc w:val="left"/>
            </w:pPr>
            <w:r>
              <w:t xml:space="preserve">30%</w:t>
            </w:r>
          </w:p>
        </w:tc>
        <w:tc>
          <w:tcPr/>
          <w:p>
            <w:pPr>
              <w:pStyle w:val="Compact"/>
              <w:jc w:val="left"/>
            </w:pPr>
            <w:r>
              <w:t xml:space="preserve">33,533.100</w:t>
            </w:r>
          </w:p>
        </w:tc>
        <w:tc>
          <w:tcPr/>
          <w:p>
            <w:pPr>
              <w:pStyle w:val="Compact"/>
              <w:jc w:val="left"/>
            </w:pPr>
            <w:r>
              <w:t xml:space="preserve">Week 12</w:t>
            </w:r>
          </w:p>
        </w:tc>
      </w:tr>
      <w:tr>
        <w:tc>
          <w:tcPr/>
          <w:p>
            <w:pPr>
              <w:pStyle w:val="Compact"/>
              <w:jc w:val="left"/>
            </w:pPr>
            <w:r>
              <w:t xml:space="preserve">Warranty Expiry (90 days post-commissioning)</w:t>
            </w:r>
          </w:p>
        </w:tc>
        <w:tc>
          <w:tcPr/>
          <w:p>
            <w:pPr>
              <w:pStyle w:val="Compact"/>
              <w:jc w:val="left"/>
            </w:pPr>
            <w:r>
              <w:t xml:space="preserve">10%</w:t>
            </w:r>
          </w:p>
        </w:tc>
        <w:tc>
          <w:tcPr/>
          <w:p>
            <w:pPr>
              <w:pStyle w:val="Compact"/>
              <w:jc w:val="left"/>
            </w:pPr>
            <w:r>
              <w:t xml:space="preserve">11,177.700</w:t>
            </w:r>
          </w:p>
        </w:tc>
        <w:tc>
          <w:tcPr/>
          <w:p>
            <w:pPr>
              <w:pStyle w:val="Compact"/>
              <w:jc w:val="left"/>
            </w:pPr>
            <w:r>
              <w:t xml:space="preserve">Week 25</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a revised estimate after the expiry date will be subject to re-evaluation of material and labour costs in</w:t>
      </w:r>
      <w:r>
        <w:t xml:space="preserve"> </w:t>
      </w:r>
      <w:r>
        <w:t xml:space="preserve">Kuwait Kuwait City</w:t>
      </w:r>
      <w:r>
        <w:t xml:space="preserve">.</w:t>
      </w:r>
    </w:p>
    <w:p>
      <w:pPr>
        <w:numPr>
          <w:ilvl w:val="0"/>
          <w:numId w:val="1002"/>
        </w:numPr>
        <w:pStyle w:val="Compact"/>
      </w:pPr>
      <w:r>
        <w:t xml:space="preserve">All prices are quoted in Kuwaiti Dinars (KWD) and are inclusive of the</w:t>
      </w:r>
      <w:r>
        <w:t xml:space="preserve"> </w:t>
      </w:r>
      <w:r>
        <w:t xml:space="preserve">Robotics Engineer</w:t>
      </w:r>
      <w:r>
        <w:t xml:space="preserve">'s professional fees, travel within Kuwait, and standard working hours (08:00–17:00, Sunday to Thursday). Overtime beyond 10 hours per day will be billed at 1.5× the daily rate.</w:t>
      </w:r>
    </w:p>
    <w:p>
      <w:pPr>
        <w:numPr>
          <w:ilvl w:val="0"/>
          <w:numId w:val="1002"/>
        </w:numPr>
        <w:pStyle w:val="Compact"/>
      </w:pPr>
      <w:r>
        <w:t xml:space="preserve">The client shall provide a dedicated, safe, and electrically powered workspace at the</w:t>
      </w:r>
      <w:r>
        <w:t xml:space="preserve"> </w:t>
      </w:r>
      <w:r>
        <w:t xml:space="preserve">Kuwait Kuwait City</w:t>
      </w:r>
      <w:r>
        <w:t xml:space="preserve"> </w:t>
      </w:r>
      <w:r>
        <w:t xml:space="preserve">facility, along with all necessary civil works (foundation anchoring, cable trays, and compressed air supply) prior to the arrival of the</w:t>
      </w:r>
      <w:r>
        <w:t xml:space="preserve"> </w:t>
      </w:r>
      <w:r>
        <w:t xml:space="preserve">Robotics Engineer</w:t>
      </w:r>
      <w:r>
        <w:t xml:space="preserve">.</w:t>
      </w:r>
    </w:p>
    <w:p>
      <w:pPr>
        <w:numPr>
          <w:ilvl w:val="0"/>
          <w:numId w:val="1002"/>
        </w:numPr>
        <w:pStyle w:val="Compact"/>
      </w:pPr>
      <w:r>
        <w:t xml:space="preserve">Intellectual property rights for all custom designs, PLC programs, and SCADA configurations developed by the</w:t>
      </w:r>
      <w:r>
        <w:t xml:space="preserve"> </w:t>
      </w:r>
      <w:r>
        <w:t xml:space="preserve">Robotics Engineer</w:t>
      </w:r>
      <w:r>
        <w:t xml:space="preserve"> </w:t>
      </w:r>
      <w:r>
        <w:t xml:space="preserve">shall transfer to the client upon full payment of the final invoice.</w:t>
      </w:r>
    </w:p>
    <w:p>
      <w:pPr>
        <w:numPr>
          <w:ilvl w:val="0"/>
          <w:numId w:val="1002"/>
        </w:numPr>
        <w:pStyle w:val="Compact"/>
      </w:pPr>
      <w:r>
        <w:t xml:space="preserve">Force majeure events, including but not limited to government-mandated shutdowns in Kuwait, shall extend the project timeline on a day-for-day basis without additional cost to either party.</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accordance with the Kuwait Commercial Arbitration Law (Law No. 11 of 2014), with proceedings conducted in</w:t>
      </w:r>
      <w:r>
        <w:t xml:space="preserve"> </w:t>
      </w:r>
      <w:r>
        <w:t xml:space="preserve">Kuwait Kuwait City</w:t>
      </w:r>
      <w:r>
        <w:t xml:space="preserve">.</w:t>
      </w:r>
    </w:p>
    <w:p>
      <w:pPr>
        <w:numPr>
          <w:ilvl w:val="0"/>
          <w:numId w:val="1002"/>
        </w:numPr>
        <w:pStyle w:val="Compact"/>
      </w:pPr>
      <w:r>
        <w:t xml:space="preserve">This estimate does not include customs duties, import permits, or municipal permits required by the Public Authority for Industry (PAI) in Kuwait. The client is responsible for obtaining all regulatory approvals.</w:t>
      </w:r>
    </w:p>
    <w:p>
      <w:pPr>
        <w:pStyle w:val="FirstParagraph"/>
      </w:pPr>
      <w:r>
        <w:rPr>
          <w:bCs/>
          <w:b/>
        </w:rPr>
        <w:t xml:space="preserve">Note:</w:t>
      </w:r>
      <w:r>
        <w:t xml:space="preserve"> </w:t>
      </w:r>
      <w:r>
        <w:t xml:space="preserve">This Quotation Estimate is prepared exclusively for the named client and the specific project location in Kuwait Kuwait City. It shall not be reproduced, distributed, or used for any other purpose without the prior written consent of Advanced Robotics &amp; Automation Solutions LLC. The Robotics Engineer named for this engagement is Eng. Sarah Al-Rashid (P.Eng., MSc. Mechatronics, 14 years' experience in industrial automation).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Robotics Engineer</w:t>
      </w:r>
      <w:r>
        <w:t xml:space="preserve"> </w:t>
      </w:r>
      <w:r>
        <w:t xml:space="preserve">services to be performed in</w:t>
      </w:r>
      <w:r>
        <w:t xml:space="preserve"> </w:t>
      </w:r>
      <w:r>
        <w:t xml:space="preserve">Kuwait Kuwait City</w:t>
      </w:r>
      <w:r>
        <w:t xml:space="preserve">. A formal Purchase Order referencing Quotation Estimate No. QE-2025-KW-0472 must be issued within the validity period to confirm the engagement.</w:t>
      </w:r>
    </w:p>
    <w:p>
      <w:pPr>
        <w:pStyle w:val="BodyText"/>
      </w:pPr>
      <w:r>
        <w:rPr>
          <w:bCs/>
          <w:b/>
        </w:rPr>
        <w:t xml:space="preserve">For: Advanced Robotics &amp; Automation Solutions LLC</w:t>
      </w:r>
    </w:p>
    <w:p>
      <w:pPr>
        <w:pStyle w:val="BodyText"/>
      </w:pPr>
      <w:r>
        <w:t xml:space="preserve">Eng. Ahmed Al-Sabah</w:t>
      </w:r>
      <w:r>
        <w:br/>
      </w:r>
      <w:r>
        <w:t xml:space="preserve">Managing Director</w:t>
      </w:r>
      <w:r>
        <w:br/>
      </w:r>
      <w:r>
        <w:t xml:space="preserve">Date: _______________</w:t>
      </w:r>
    </w:p>
    <w:p>
      <w:pPr>
        <w:pStyle w:val="BodyText"/>
      </w:pPr>
      <w:r>
        <w:rPr>
          <w:bCs/>
          <w:b/>
        </w:rPr>
        <w:t xml:space="preserve">For: Kuwait National Industrial Development Co.</w:t>
      </w:r>
    </w:p>
    <w:p>
      <w:pPr>
        <w:pStyle w:val="BodyText"/>
      </w:pPr>
      <w:r>
        <w:t xml:space="preserve">Eng. Khalid Al-Mubarak</w:t>
      </w:r>
      <w:r>
        <w:br/>
      </w:r>
      <w:r>
        <w:t xml:space="preserve">Project Director</w:t>
      </w:r>
      <w:r>
        <w:br/>
      </w:r>
      <w:r>
        <w:t xml:space="preserve">Date: _______________</w:t>
      </w:r>
    </w:p>
    <w:p>
      <w:pPr>
        <w:pStyle w:val="BodyText"/>
      </w:pPr>
      <w:r>
        <w:t xml:space="preserve">— End of Quotation Estimate QE-2025-KW-0472 —</w:t>
      </w:r>
      <w:r>
        <w:br/>
      </w:r>
      <w:r>
        <w:t xml:space="preserve">Advanced Robotics &amp; Automation Solutions LLC | Kuwait Kuwait City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Kuwait Kuwait City</dc:title>
  <dc:creator/>
  <dc:language>en</dc:language>
  <cp:keywords/>
  <dcterms:created xsi:type="dcterms:W3CDTF">2026-10-10T01:11:25Z</dcterms:created>
  <dcterms:modified xsi:type="dcterms:W3CDTF">2026-10-10T01:11:25Z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