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Robotics Engineer Services — Malaysia Kuala Lumpur</w:t>
      </w:r>
    </w:p>
    <w:p>
      <w:pPr>
        <w:pStyle w:val="BodyText"/>
      </w:pPr>
      <w:r>
        <w:t xml:space="preserve">Advanced Automation &amp; Robotics Solutions Sdn. Bhd.</w:t>
      </w:r>
      <w:r>
        <w:br/>
      </w:r>
      <w:r>
        <w:t xml:space="preserve">Level 12, Menara Cyberjaya, Jalan P.J. 9/2, 46200 Petaling Jaya, Selangor, Malaysia</w:t>
      </w:r>
      <w:r>
        <w:br/>
      </w:r>
      <w:r>
        <w:t xml:space="preserve">Tel: +603-8000 1234 | Email: quotations@advancedrobotics.my | Reg. No. 201901045678</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QTE-2025-KL-0847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Malaysian Ringgit (MYR)</w:t>
            </w:r>
          </w:p>
        </w:tc>
      </w:tr>
      <w:tr>
        <w:tc>
          <w:tcPr/>
          <w:p>
            <w:pPr>
              <w:pStyle w:val="Compact"/>
              <w:jc w:val="left"/>
            </w:pPr>
            <w:r>
              <w:t xml:space="preserve">Prepared For:</w:t>
            </w:r>
          </w:p>
        </w:tc>
        <w:tc>
          <w:tcPr/>
          <w:p>
            <w:pPr>
              <w:pStyle w:val="Compact"/>
              <w:jc w:val="left"/>
            </w:pPr>
            <w:r>
              <w:t xml:space="preserve">Client Name / Company</w:t>
            </w:r>
          </w:p>
        </w:tc>
        <w:tc>
          <w:tcPr/>
          <w:p>
            <w:pPr>
              <w:pStyle w:val="Compact"/>
              <w:jc w:val="left"/>
            </w:pPr>
            <w:r>
              <w:t xml:space="preserve">Project Location:</w:t>
            </w:r>
          </w:p>
        </w:tc>
        <w:tc>
          <w:tcPr/>
          <w:p>
            <w:pPr>
              <w:pStyle w:val="Compact"/>
              <w:jc w:val="left"/>
            </w:pPr>
            <w:r>
              <w:t xml:space="preserve">Malaysia Kuala Lumpur</w:t>
            </w:r>
          </w:p>
        </w:tc>
      </w:tr>
      <w:tr>
        <w:tc>
          <w:tcPr/>
          <w:p>
            <w:pPr>
              <w:pStyle w:val="Compact"/>
              <w:jc w:val="left"/>
            </w:pPr>
            <w:r>
              <w:t xml:space="preserve">Contact Person:</w:t>
            </w:r>
          </w:p>
        </w:tc>
        <w:tc>
          <w:tcPr/>
          <w:p>
            <w:pPr>
              <w:pStyle w:val="Compact"/>
              <w:jc w:val="left"/>
            </w:pPr>
            <w:r>
              <w:t xml:space="preserve">Mr. / Ms. [Client Name]</w:t>
            </w:r>
          </w:p>
        </w:tc>
        <w:tc>
          <w:tcPr/>
          <w:p>
            <w:pPr>
              <w:pStyle w:val="Compact"/>
              <w:jc w:val="left"/>
            </w:pPr>
            <w:r>
              <w:t xml:space="preserve">Phone:</w:t>
            </w:r>
          </w:p>
        </w:tc>
        <w:tc>
          <w:tcPr/>
          <w:p>
            <w:pPr>
              <w:pStyle w:val="Compact"/>
              <w:jc w:val="left"/>
            </w:pPr>
            <w:r>
              <w:t xml:space="preserve">+60 [Client Phone]</w:t>
            </w:r>
          </w:p>
        </w:tc>
      </w:tr>
    </w:tbl>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Advanced Automation &amp; Robotics Solutions Sdn. Bhd. to provide comprehensive professional services of a</w:t>
      </w:r>
      <w:r>
        <w:t xml:space="preserve"> </w:t>
      </w:r>
      <w:r>
        <w:t xml:space="preserve">Robotics Engineer</w:t>
      </w:r>
      <w:r>
        <w:t xml:space="preserve"> </w:t>
      </w:r>
      <w:r>
        <w:t xml:space="preserve">for the client's industrial automation project located in</w:t>
      </w:r>
      <w:r>
        <w:t xml:space="preserve"> </w:t>
      </w:r>
      <w:r>
        <w:t xml:space="preserve">Malaysia Kuala Lumpur</w:t>
      </w:r>
      <w:r>
        <w:t xml:space="preserve">. The scope encompasses the design, programming, integration, commissioning, and post-deployment support of robotic systems tailored to the client's manufacturing and logistics operations. The</w:t>
      </w:r>
      <w:r>
        <w:t xml:space="preserve"> </w:t>
      </w:r>
      <w:r>
        <w:t xml:space="preserve">Robotics Engineer</w:t>
      </w:r>
      <w:r>
        <w:t xml:space="preserve"> </w:t>
      </w:r>
      <w:r>
        <w:t xml:space="preserve">assigned to this project will hold a minimum of eight (8) years of hands-on experience in industrial robotics, mechatronics, and control systems, with specific expertise in FANUC, ABB, KUKA, and Yaskawa robotic platforms commonly deployed in the Malaysian manufacturing sector.</w:t>
      </w:r>
    </w:p>
    <w:p>
      <w:pPr>
        <w:pStyle w:val="BodyText"/>
      </w:pPr>
      <w:r>
        <w:t xml:space="preserve">All services described in this</w:t>
      </w:r>
      <w:r>
        <w:t xml:space="preserve"> </w:t>
      </w:r>
      <w:r>
        <w:t xml:space="preserve">Quotation Estimate</w:t>
      </w:r>
      <w:r>
        <w:t xml:space="preserve"> </w:t>
      </w:r>
      <w:r>
        <w:t xml:space="preserve">will be executed in strict compliance with the Malaysian Standards (MS) for industrial safety, the Occupational Safety and Health Act 1994 (OSHA), and the relevant guidelines issued by the Department of Occupational Safety and Health (DOSH) in</w:t>
      </w:r>
      <w:r>
        <w:t xml:space="preserve"> </w:t>
      </w:r>
      <w:r>
        <w:t xml:space="preserve">Malaysia Kuala Lumpur</w:t>
      </w:r>
      <w:r>
        <w:t xml:space="preserve">. The</w:t>
      </w:r>
      <w:r>
        <w:t xml:space="preserve"> </w:t>
      </w:r>
      <w:r>
        <w:t xml:space="preserve">Robotics Engineer</w:t>
      </w:r>
      <w:r>
        <w:t xml:space="preserve"> </w:t>
      </w:r>
      <w:r>
        <w:t xml:space="preserve">will also ensure that all robotic installations meet the requirements of the Malaysian Industrial Development Authority (MIDA) and the Economic Planning Unit (EPU) for technology adoption incentives.</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(MYR)</w:t>
            </w:r>
          </w:p>
        </w:tc>
        <w:tc>
          <w:tcPr/>
          <w:p>
            <w:pPr>
              <w:pStyle w:val="Compact"/>
              <w:jc w:val="left"/>
            </w:pPr>
            <w:r>
              <w:t xml:space="preserve">Amount (MYR)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Site survey and feasibility assessment at client's facility in Malaysia Kuala Lumpur</w:t>
            </w:r>
          </w:p>
        </w:tc>
        <w:tc>
          <w:tcPr/>
          <w:p>
            <w:pPr>
              <w:pStyle w:val="Compact"/>
              <w:jc w:val="left"/>
            </w:pPr>
            <w:r>
              <w:t xml:space="preserve">2 days</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Includes travel within KL</w:t>
            </w:r>
          </w:p>
        </w:tc>
      </w:tr>
      <w:tr>
        <w:tc>
          <w:tcPr/>
          <w:p>
            <w:pPr>
              <w:pStyle w:val="Compact"/>
              <w:jc w:val="left"/>
            </w:pPr>
            <w:r>
              <w:t xml:space="preserve">2</w:t>
            </w:r>
          </w:p>
        </w:tc>
        <w:tc>
          <w:tcPr/>
          <w:p>
            <w:pPr>
              <w:pStyle w:val="Compact"/>
              <w:jc w:val="left"/>
            </w:pPr>
            <w:r>
              <w:t xml:space="preserve">System architecture design and robotic cell layout planning by Robotics Engineer</w:t>
            </w:r>
          </w:p>
        </w:tc>
        <w:tc>
          <w:tcPr/>
          <w:p>
            <w:pPr>
              <w:pStyle w:val="Compact"/>
              <w:jc w:val="left"/>
            </w:pPr>
            <w:r>
              <w:t xml:space="preserve">5 days</w:t>
            </w:r>
          </w:p>
        </w:tc>
        <w:tc>
          <w:tcPr/>
          <w:p>
            <w:pPr>
              <w:pStyle w:val="Compact"/>
              <w:jc w:val="left"/>
            </w:pPr>
            <w:r>
              <w:t xml:space="preserve">2,800.00</w:t>
            </w:r>
          </w:p>
        </w:tc>
        <w:tc>
          <w:tcPr/>
          <w:p>
            <w:pPr>
              <w:pStyle w:val="Compact"/>
              <w:jc w:val="left"/>
            </w:pPr>
            <w:r>
              <w:t xml:space="preserve">14,000.00</w:t>
            </w:r>
          </w:p>
        </w:tc>
        <w:tc>
          <w:tcPr/>
          <w:p>
            <w:pPr>
              <w:pStyle w:val="Compact"/>
              <w:jc w:val="left"/>
            </w:pPr>
            <w:r>
              <w:t xml:space="preserve">Deliverable: CAD drawings &amp; P&amp;ID</w:t>
            </w:r>
          </w:p>
        </w:tc>
      </w:tr>
      <w:tr>
        <w:tc>
          <w:tcPr/>
          <w:p>
            <w:pPr>
              <w:pStyle w:val="Compact"/>
              <w:jc w:val="left"/>
            </w:pPr>
            <w:r>
              <w:t xml:space="preserve">3</w:t>
            </w:r>
          </w:p>
        </w:tc>
        <w:tc>
          <w:tcPr/>
          <w:p>
            <w:pPr>
              <w:pStyle w:val="Compact"/>
              <w:jc w:val="left"/>
            </w:pPr>
            <w:r>
              <w:t xml:space="preserve">Robotic arm programming, PLC integration, and HMI development</w:t>
            </w:r>
          </w:p>
        </w:tc>
        <w:tc>
          <w:tcPr/>
          <w:p>
            <w:pPr>
              <w:pStyle w:val="Compact"/>
              <w:jc w:val="left"/>
            </w:pPr>
            <w:r>
              <w:t xml:space="preserve">10 days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Up to 3-axis and 6-axis robots</w:t>
            </w:r>
          </w:p>
        </w:tc>
      </w:tr>
      <w:tr>
        <w:tc>
          <w:tcPr/>
          <w:p>
            <w:pPr>
              <w:pStyle w:val="Compact"/>
              <w:jc w:val="left"/>
            </w:pPr>
            <w:r>
              <w:t xml:space="preserve">4</w:t>
            </w:r>
          </w:p>
        </w:tc>
        <w:tc>
          <w:tcPr/>
          <w:p>
            <w:pPr>
              <w:pStyle w:val="Compact"/>
              <w:jc w:val="left"/>
            </w:pPr>
            <w:r>
              <w:t xml:space="preserve">On-site installation, mechanical alignment, and electrical wiring supervision</w:t>
            </w:r>
          </w:p>
        </w:tc>
        <w:tc>
          <w:tcPr/>
          <w:p>
            <w:pPr>
              <w:pStyle w:val="Compact"/>
              <w:jc w:val="left"/>
            </w:pPr>
            <w:r>
              <w:t xml:space="preserve">7 days</w:t>
            </w:r>
          </w:p>
        </w:tc>
        <w:tc>
          <w:tcPr/>
          <w:p>
            <w:pPr>
              <w:pStyle w:val="Compact"/>
              <w:jc w:val="left"/>
            </w:pPr>
            <w:r>
              <w:t xml:space="preserve">2,200.00</w:t>
            </w:r>
          </w:p>
        </w:tc>
        <w:tc>
          <w:tcPr/>
          <w:p>
            <w:pPr>
              <w:pStyle w:val="Compact"/>
              <w:jc w:val="left"/>
            </w:pPr>
            <w:r>
              <w:t xml:space="preserve">15,400.00</w:t>
            </w:r>
          </w:p>
        </w:tc>
        <w:tc>
          <w:tcPr/>
          <w:p>
            <w:pPr>
              <w:pStyle w:val="Compact"/>
              <w:jc w:val="left"/>
            </w:pPr>
            <w:r>
              <w:t xml:space="preserve">Malaysia Kuala Lumpur site</w:t>
            </w:r>
          </w:p>
        </w:tc>
      </w:tr>
      <w:tr>
        <w:tc>
          <w:tcPr/>
          <w:p>
            <w:pPr>
              <w:pStyle w:val="Compact"/>
              <w:jc w:val="left"/>
            </w:pPr>
            <w:r>
              <w:t xml:space="preserve">5</w:t>
            </w:r>
          </w:p>
        </w:tc>
        <w:tc>
          <w:tcPr/>
          <w:p>
            <w:pPr>
              <w:pStyle w:val="Compact"/>
              <w:jc w:val="left"/>
            </w:pPr>
            <w:r>
              <w:t xml:space="preserve">Commissioning, performance testing, and safety interlock verification</w:t>
            </w:r>
          </w:p>
        </w:tc>
        <w:tc>
          <w:tcPr/>
          <w:p>
            <w:pPr>
              <w:pStyle w:val="Compact"/>
              <w:jc w:val="left"/>
            </w:pPr>
            <w:r>
              <w:t xml:space="preserve">5 days</w:t>
            </w:r>
          </w:p>
        </w:tc>
        <w:tc>
          <w:tcPr/>
          <w:p>
            <w:pPr>
              <w:pStyle w:val="Compact"/>
              <w:jc w:val="left"/>
            </w:pPr>
            <w:r>
              <w:t xml:space="preserve">2,500.00</w:t>
            </w:r>
          </w:p>
        </w:tc>
        <w:tc>
          <w:tcPr/>
          <w:p>
            <w:pPr>
              <w:pStyle w:val="Compact"/>
              <w:jc w:val="left"/>
            </w:pPr>
            <w:r>
              <w:t xml:space="preserve">12,500.00</w:t>
            </w:r>
          </w:p>
        </w:tc>
        <w:tc>
          <w:tcPr/>
          <w:p>
            <w:pPr>
              <w:pStyle w:val="Compact"/>
              <w:jc w:val="left"/>
            </w:pPr>
            <w:r>
              <w:t xml:space="preserve">Per MS 1525 standard</w:t>
            </w:r>
          </w:p>
        </w:tc>
      </w:tr>
      <w:tr>
        <w:tc>
          <w:tcPr/>
          <w:p>
            <w:pPr>
              <w:pStyle w:val="Compact"/>
              <w:jc w:val="left"/>
            </w:pPr>
            <w:r>
              <w:t xml:space="preserve">6</w:t>
            </w:r>
          </w:p>
        </w:tc>
        <w:tc>
          <w:tcPr/>
          <w:p>
            <w:pPr>
              <w:pStyle w:val="Compact"/>
              <w:jc w:val="left"/>
            </w:pPr>
            <w:r>
              <w:t xml:space="preserve">Operator training and technical documentation handover</w:t>
            </w:r>
          </w:p>
        </w:tc>
        <w:tc>
          <w:tcPr/>
          <w:p>
            <w:pPr>
              <w:pStyle w:val="Compact"/>
              <w:jc w:val="left"/>
            </w:pPr>
            <w:r>
              <w:t xml:space="preserve">3 days</w:t>
            </w:r>
          </w:p>
        </w:tc>
        <w:tc>
          <w:tcPr/>
          <w:p>
            <w:pPr>
              <w:pStyle w:val="Compact"/>
              <w:jc w:val="left"/>
            </w:pPr>
            <w:r>
              <w:t xml:space="preserve">2,000.00</w:t>
            </w:r>
          </w:p>
        </w:tc>
        <w:tc>
          <w:tcPr/>
          <w:p>
            <w:pPr>
              <w:pStyle w:val="Compact"/>
              <w:jc w:val="left"/>
            </w:pPr>
            <w:r>
              <w:t xml:space="preserve">6,000.00</w:t>
            </w:r>
          </w:p>
        </w:tc>
        <w:tc>
          <w:tcPr/>
          <w:p>
            <w:pPr>
              <w:pStyle w:val="Compact"/>
              <w:jc w:val="left"/>
            </w:pPr>
            <w:r>
              <w:t xml:space="preserve">Up to 8 personnel</w:t>
            </w:r>
          </w:p>
        </w:tc>
      </w:tr>
      <w:tr>
        <w:tc>
          <w:tcPr/>
          <w:p>
            <w:pPr>
              <w:pStyle w:val="Compact"/>
              <w:jc w:val="left"/>
            </w:pPr>
            <w:r>
              <w:t xml:space="preserve">7</w:t>
            </w:r>
          </w:p>
        </w:tc>
        <w:tc>
          <w:tcPr/>
          <w:p>
            <w:pPr>
              <w:pStyle w:val="Compact"/>
              <w:jc w:val="left"/>
            </w:pPr>
            <w:r>
              <w:t xml:space="preserve">Post-commissioning support and warranty period (3 months)</w:t>
            </w:r>
          </w:p>
        </w:tc>
        <w:tc>
          <w:tcPr/>
          <w:p>
            <w:pPr>
              <w:pStyle w:val="Compact"/>
              <w:jc w:val="left"/>
            </w:pPr>
            <w:r>
              <w:t xml:space="preserve">90 days</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Remote + 2 on-site visits</w:t>
            </w:r>
          </w:p>
        </w:tc>
      </w:tr>
      <w:tr>
        <w:tc>
          <w:tcPr/>
          <w:p>
            <w:pPr>
              <w:pStyle w:val="Compact"/>
              <w:jc w:val="left"/>
            </w:pPr>
            <w:r>
              <w:t xml:space="preserve">8</w:t>
            </w:r>
          </w:p>
        </w:tc>
        <w:tc>
          <w:tcPr/>
          <w:p>
            <w:pPr>
              <w:pStyle w:val="Compact"/>
              <w:jc w:val="left"/>
            </w:pPr>
            <w:r>
              <w:t xml:space="preserve">Project management, reporting, and client liaison (ongoing)</w:t>
            </w:r>
          </w:p>
        </w:tc>
        <w:tc>
          <w:tcPr/>
          <w:p>
            <w:pPr>
              <w:pStyle w:val="Compact"/>
              <w:jc w:val="left"/>
            </w:pPr>
            <w:r>
              <w:t xml:space="preserve">Entire project</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Weekly progress reports</w:t>
            </w:r>
          </w:p>
        </w:tc>
      </w:tr>
      <w:tr>
        <w:tc>
          <w:tcPr>
            <w:gridSpan w:val="4"/>
          </w:tcPr>
          <w:p>
            <w:pPr>
              <w:pStyle w:val="Compact"/>
              <w:jc w:val="left"/>
            </w:pPr>
            <w:r>
              <w:t xml:space="preserve">SUBTOTAL</w:t>
            </w:r>
          </w:p>
        </w:tc>
        <w:tc>
          <w:tcPr/>
          <w:p>
            <w:pPr>
              <w:pStyle w:val="Compact"/>
              <w:jc w:val="left"/>
            </w:pPr>
            <w:r>
              <w:t xml:space="preserve">MYR 95,200.00</w:t>
            </w:r>
          </w:p>
        </w:tc>
        <w:tc>
          <w:tcPr/>
          <w:p>
            <w:pPr>
              <w:pStyle w:val="Compact"/>
            </w:pPr>
          </w:p>
        </w:tc>
      </w:tr>
      <w:tr>
        <w:tc>
          <w:tcPr>
            <w:gridSpan w:val="4"/>
          </w:tcPr>
          <w:p>
            <w:pPr>
              <w:pStyle w:val="Compact"/>
              <w:jc w:val="left"/>
            </w:pPr>
            <w:r>
              <w:t xml:space="preserve">Sales and Service Tax (SST) @ 6%</w:t>
            </w:r>
          </w:p>
        </w:tc>
        <w:tc>
          <w:tcPr/>
          <w:p>
            <w:pPr>
              <w:pStyle w:val="Compact"/>
              <w:jc w:val="left"/>
            </w:pPr>
            <w:r>
              <w:t xml:space="preserve">MYR 5,712.00</w:t>
            </w:r>
          </w:p>
        </w:tc>
        <w:tc>
          <w:tcPr/>
          <w:p>
            <w:pPr>
              <w:pStyle w:val="Compact"/>
              <w:jc w:val="left"/>
            </w:pPr>
            <w:r>
              <w:t xml:space="preserve">As per LHDN regulation</w:t>
            </w:r>
          </w:p>
        </w:tc>
      </w:tr>
      <w:tr>
        <w:tc>
          <w:tcPr>
            <w:gridSpan w:val="4"/>
          </w:tcPr>
          <w:p>
            <w:pPr>
              <w:pStyle w:val="Compact"/>
              <w:jc w:val="left"/>
            </w:pPr>
            <w:r>
              <w:t xml:space="preserve">GRAND TOTAL</w:t>
            </w:r>
          </w:p>
        </w:tc>
        <w:tc>
          <w:tcPr/>
          <w:p>
            <w:pPr>
              <w:pStyle w:val="Compact"/>
              <w:jc w:val="left"/>
            </w:pPr>
            <w:r>
              <w:t xml:space="preserve">MYR 100,912.00</w:t>
            </w:r>
          </w:p>
        </w:tc>
        <w:tc>
          <w:tcPr/>
          <w:p>
            <w:pPr>
              <w:pStyle w:val="Compact"/>
            </w:pP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pricing by the</w:t>
      </w:r>
      <w:r>
        <w:t xml:space="preserve"> </w:t>
      </w:r>
      <w:r>
        <w:t xml:space="preserve">Robotics Engineer</w:t>
      </w:r>
      <w:r>
        <w:t xml:space="preserve"> </w:t>
      </w:r>
      <w:r>
        <w:t xml:space="preserve">team.</w:t>
      </w:r>
    </w:p>
    <w:p>
      <w:pPr>
        <w:numPr>
          <w:ilvl w:val="0"/>
          <w:numId w:val="1001"/>
        </w:numPr>
        <w:pStyle w:val="Compact"/>
      </w:pPr>
      <w:r>
        <w:t xml:space="preserve">Payment terms: 40% advance payment upon acceptance of this quotation, 40% upon successful commissioning, and 20% upon completion of the warranty period. All payments shall be made in Malaysian Ringgit (MYR) via bank transfer to the account specified in the invoice.</w:t>
      </w:r>
    </w:p>
    <w:p>
      <w:pPr>
        <w:numPr>
          <w:ilvl w:val="0"/>
          <w:numId w:val="1001"/>
        </w:numPr>
        <w:pStyle w:val="Compact"/>
      </w:pPr>
      <w:r>
        <w:t xml:space="preserve">The</w:t>
      </w:r>
      <w:r>
        <w:t xml:space="preserve"> </w:t>
      </w:r>
      <w:r>
        <w:t xml:space="preserve">Robotics Engineer</w:t>
      </w:r>
      <w:r>
        <w:t xml:space="preserve"> </w:t>
      </w:r>
      <w:r>
        <w:t xml:space="preserve">shall provide a detailed project timeline within five (5) working days of receiving the advance payment. The estimated total project duration is twenty-seven (27) working days from the commencement date in</w:t>
      </w:r>
      <w:r>
        <w:t xml:space="preserve"> </w:t>
      </w:r>
      <w:r>
        <w:t xml:space="preserve">Malaysia Kuala Lumpur</w:t>
      </w:r>
      <w:r>
        <w:t xml:space="preserve">.</w:t>
      </w:r>
    </w:p>
    <w:p>
      <w:pPr>
        <w:numPr>
          <w:ilvl w:val="0"/>
          <w:numId w:val="1001"/>
        </w:numPr>
        <w:pStyle w:val="Compact"/>
      </w:pPr>
      <w:r>
        <w:t xml:space="preserve">Any changes to the scope of work beyond the parameters described in this</w:t>
      </w:r>
      <w:r>
        <w:t xml:space="preserve"> </w:t>
      </w:r>
      <w:r>
        <w:t xml:space="preserve">Quotation Estimate</w:t>
      </w:r>
      <w:r>
        <w:t xml:space="preserve"> </w:t>
      </w:r>
      <w:r>
        <w:t xml:space="preserve">will be subject to a supplementary quotation and mutual written agreement between both parties.</w:t>
      </w:r>
    </w:p>
    <w:p>
      <w:pPr>
        <w:numPr>
          <w:ilvl w:val="0"/>
          <w:numId w:val="1001"/>
        </w:numPr>
        <w:pStyle w:val="Compact"/>
      </w:pPr>
      <w:r>
        <w:t xml:space="preserve">The client is responsible for providing safe access to the work site, necessary utilities (power, compressed air), and any third-party permits required for robotic installation in the</w:t>
      </w:r>
      <w:r>
        <w:t xml:space="preserve"> </w:t>
      </w:r>
      <w:r>
        <w:t xml:space="preserve">Malaysia Kuala Lumpur</w:t>
      </w:r>
      <w:r>
        <w:t xml:space="preserve"> </w:t>
      </w:r>
      <w:r>
        <w:t xml:space="preserve">jurisdiction.</w:t>
      </w:r>
    </w:p>
    <w:p>
      <w:pPr>
        <w:numPr>
          <w:ilvl w:val="0"/>
          <w:numId w:val="1001"/>
        </w:numPr>
        <w:pStyle w:val="Compact"/>
      </w:pPr>
      <w:r>
        <w:t xml:space="preserve">All intellectual property, including proprietary code, design files, and process documentation developed by the</w:t>
      </w:r>
      <w:r>
        <w:t xml:space="preserve"> </w:t>
      </w:r>
      <w:r>
        <w:t xml:space="preserve">Robotics Engineer</w:t>
      </w:r>
      <w:r>
        <w:t xml:space="preserve">, shall remain the property of Advanced Automation &amp; Robotics Solutions Sdn. Bhd. unless otherwise agreed in a separate licensing agreement.</w:t>
      </w:r>
    </w:p>
    <w:p>
      <w:pPr>
        <w:numPr>
          <w:ilvl w:val="0"/>
          <w:numId w:val="1001"/>
        </w:numPr>
        <w:pStyle w:val="Compact"/>
      </w:pPr>
      <w:r>
        <w:t xml:space="preserve">This quotation does not include the cost of robotic hardware, end-effectors, safety fencing, or third-party software licenses. These items may be sourced separately and are not part of this</w:t>
      </w:r>
      <w:r>
        <w:t xml:space="preserve"> </w:t>
      </w:r>
      <w:r>
        <w:t xml:space="preserve">Quotation Estimate</w:t>
      </w:r>
      <w:r>
        <w:t xml:space="preserve">.</w:t>
      </w:r>
    </w:p>
    <w:p>
      <w:pPr>
        <w:numPr>
          <w:ilvl w:val="0"/>
          <w:numId w:val="1001"/>
        </w:numPr>
        <w:pStyle w:val="Compact"/>
      </w:pPr>
      <w:r>
        <w:t xml:space="preserve">Disputes arising from this engagement shall be resolved through mediation in accordance with the laws of Malaysia, with jurisdiction in the courts of</w:t>
      </w:r>
      <w:r>
        <w:t xml:space="preserve"> </w:t>
      </w:r>
      <w:r>
        <w:t xml:space="preserve">Malaysia Kuala Lumpur</w:t>
      </w:r>
      <w:r>
        <w:t xml:space="preserve">.</w:t>
      </w:r>
    </w:p>
    <w:p>
      <w:pPr>
        <w:pStyle w:val="FirstParagraph"/>
      </w:pPr>
      <w:r>
        <w:t xml:space="preserve">4.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Robotics Engineer</w:t>
      </w:r>
      <w:r>
        <w:t xml:space="preserve"> </w:t>
      </w:r>
      <w:r>
        <w:t xml:space="preserve">for the specified project in</w:t>
      </w:r>
      <w:r>
        <w:t xml:space="preserve"> </w:t>
      </w:r>
      <w:r>
        <w:t xml:space="preserve">Malaysia Kuala Lumpur</w:t>
      </w:r>
      <w:r>
        <w:t xml:space="preserve">.</w:t>
      </w:r>
    </w:p>
    <w:p>
      <w:pPr>
        <w:pStyle w:val="BodyText"/>
      </w:pPr>
      <w:r>
        <w:rPr>
          <w:bCs/>
          <w:b/>
        </w:rPr>
        <w:t xml:space="preserve">For and on behalf of:</w:t>
      </w:r>
      <w:r>
        <w:br/>
      </w:r>
      <w:r>
        <w:t xml:space="preserve">Advanced Automation &amp; Robotics Solutions Sdn. Bhd.</w:t>
      </w:r>
      <w:r>
        <w:br/>
      </w:r>
      <w:r>
        <w:t xml:space="preserve">Name: _________________________</w:t>
      </w:r>
      <w:r>
        <w:br/>
      </w:r>
      <w:r>
        <w:t xml:space="preserve">Designation: Project Director</w:t>
      </w:r>
      <w:r>
        <w:br/>
      </w:r>
      <w:r>
        <w:t xml:space="preserve">Date: _________________________</w:t>
      </w:r>
    </w:p>
    <w:p>
      <w:pPr>
        <w:pStyle w:val="BodyText"/>
      </w:pPr>
      <w:r>
        <w:rPr>
          <w:bCs/>
          <w:b/>
        </w:rPr>
        <w:t xml:space="preserve">Accepted by (Client):</w:t>
      </w:r>
      <w:r>
        <w:br/>
      </w:r>
      <w:r>
        <w:t xml:space="preserve">Company: _________________________</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Note:</w:t>
      </w:r>
      <w:r>
        <w:t xml:space="preserve"> </w:t>
      </w:r>
      <w:r>
        <w:t xml:space="preserve">This Quotation Estimate is a non-binding document until formally accepted in writing by both parties. All prices are exclusive of robotic hardware procurement. The Robotics Engineer services are subject to availability and scheduling. For inquiries regarding this quotation, please contact our project coordination office in Malaysia Kuala Lumpur at +603-8000 1234 or quotations@advancedrobotics.my.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Malaysia Kuala Lumpur</dc:title>
  <dc:creator/>
  <dc:language>en</dc:language>
  <cp:keywords/>
  <dcterms:created xsi:type="dcterms:W3CDTF">2026-10-10T03:38:36Z</dcterms:created>
  <dcterms:modified xsi:type="dcterms:W3CDTF">2026-10-10T03:38:36Z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