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quotation-estimate"/>
    <w:p>
      <w:pPr>
        <w:pStyle w:val="Heading1"/>
      </w:pPr>
      <w:r>
        <w:t xml:space="preserve">QUOTATION ESTIMATE</w:t>
      </w:r>
    </w:p>
    <w:p>
      <w:pPr>
        <w:pStyle w:val="FirstParagraph"/>
      </w:pPr>
      <w:r>
        <w:rPr>
          <w:bCs/>
          <w:b/>
        </w:rPr>
        <w:t xml:space="preserve">Myanmar Tech Solutions Co., Ltd.</w:t>
      </w:r>
    </w:p>
    <w:p>
      <w:pPr>
        <w:pStyle w:val="BodyText"/>
      </w:pPr>
      <w:r>
        <w:t xml:space="preserve">25th Street, Sanchaung Township, Yangon, Myanmar</w:t>
      </w:r>
    </w:p>
    <w:p>
      <w:pPr>
        <w:pStyle w:val="BodyText"/>
      </w:pPr>
      <w:r>
        <w:t xml:space="preserve">Tel: +95-9-795-123-456 | Email: info@mmtechsolutions.com.mm</w:t>
      </w:r>
    </w:p>
    <w:p>
      <w:pPr>
        <w:pStyle w:val="BodyText"/>
      </w:pPr>
      <w:r>
        <w:t xml:space="preserve">Tax Registration No: 31001234567</w:t>
      </w:r>
    </w:p>
    <w:bookmarkEnd w:id="20"/>
    <w:p>
      <w:pPr>
        <w:pStyle w:val="BodyText"/>
      </w:pPr>
      <w:r>
        <w:rPr>
          <w:bCs/>
          <w:b/>
        </w:rPr>
        <w:t xml:space="preserve">Quotation No.:</w:t>
      </w:r>
      <w:r>
        <w:t xml:space="preserve"> </w:t>
      </w:r>
      <w:r>
        <w:t xml:space="preserve">QTE-2025-YGN-0472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p>
    <w:p>
      <w:pPr>
        <w:pStyle w:val="BodyText"/>
      </w:pPr>
      <w:r>
        <w:t xml:space="preserve">Yangon Industrial Automation Group</w:t>
      </w:r>
    </w:p>
    <w:p>
      <w:pPr>
        <w:pStyle w:val="BodyText"/>
      </w:pPr>
      <w:r>
        <w:t xml:space="preserve">45 Kyauktada Road, Yangon, Myanmar</w:t>
      </w:r>
    </w:p>
    <w:p>
      <w:pPr>
        <w:pStyle w:val="BodyText"/>
      </w:pPr>
      <w:r>
        <w:t xml:space="preserve">Contact: U Aung Myint (Procurement Manager)</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Myanmar Tech Solutions Co., Ltd. to provide a comprehensive and transparent cost breakdown for the engagement of a qualified</w:t>
      </w:r>
      <w:r>
        <w:t xml:space="preserve"> </w:t>
      </w:r>
      <w:r>
        <w:t xml:space="preserve">Robotics Engineer</w:t>
      </w:r>
      <w:r>
        <w:t xml:space="preserve"> </w:t>
      </w:r>
      <w:r>
        <w:t xml:space="preserve">to deliver specialized technical services within the</w:t>
      </w:r>
      <w:r>
        <w:t xml:space="preserve"> </w:t>
      </w:r>
      <w:r>
        <w:t xml:space="preserve">Myanmar Yangon</w:t>
      </w:r>
      <w:r>
        <w:t xml:space="preserve"> </w:t>
      </w:r>
      <w:r>
        <w:t xml:space="preserve">metropolitan area. This document outlines the scope of work, professional fees, material costs, and all associated terms governing the proposed engagement. The</w:t>
      </w:r>
      <w:r>
        <w:t xml:space="preserve"> </w:t>
      </w:r>
      <w:r>
        <w:t xml:space="preserve">Quotation Estimate</w:t>
      </w:r>
      <w:r>
        <w:t xml:space="preserve"> </w:t>
      </w:r>
      <w:r>
        <w:t xml:space="preserve">has been prepared in accordance with Myanmar's commercial regulations and reflects current market rates for robotics and automation expertise in the Yangon region.</w:t>
      </w:r>
    </w:p>
    <w:bookmarkEnd w:id="21"/>
    <w:bookmarkStart w:id="22" w:name="scope-of-work-robotics-engineer-services"/>
    <w:p>
      <w:pPr>
        <w:pStyle w:val="Heading2"/>
      </w:pPr>
      <w:r>
        <w:t xml:space="preserve">2. Scope of Work – Robotics Engineer Services</w:t>
      </w:r>
    </w:p>
    <w:p>
      <w:pPr>
        <w:pStyle w:val="FirstParagraph"/>
      </w:pPr>
      <w:r>
        <w:t xml:space="preserve">The</w:t>
      </w:r>
      <w:r>
        <w:t xml:space="preserve"> </w:t>
      </w:r>
      <w:r>
        <w:t xml:space="preserve">Robotics Engineer</w:t>
      </w:r>
      <w:r>
        <w:t xml:space="preserve"> </w:t>
      </w:r>
      <w:r>
        <w:t xml:space="preserve">engaged under this</w:t>
      </w:r>
      <w:r>
        <w:t xml:space="preserve"> </w:t>
      </w:r>
      <w:r>
        <w:t xml:space="preserve">Quotation Estimate</w:t>
      </w:r>
      <w:r>
        <w:t xml:space="preserve"> </w:t>
      </w:r>
      <w:r>
        <w:t xml:space="preserve">shall perform the following duties and deliverables at the client's facility located in</w:t>
      </w:r>
      <w:r>
        <w:t xml:space="preserve"> </w:t>
      </w:r>
      <w:r>
        <w:t xml:space="preserve">Myanmar Yangon</w:t>
      </w:r>
      <w:r>
        <w:t xml:space="preserve">:</w:t>
      </w:r>
    </w:p>
    <w:p>
      <w:pPr>
        <w:numPr>
          <w:ilvl w:val="0"/>
          <w:numId w:val="1001"/>
        </w:numPr>
        <w:pStyle w:val="Compact"/>
      </w:pPr>
      <w:r>
        <w:t xml:space="preserve">Design, programming, and commissioning of industrial robotic arms (6-axis and SCARA configurations) for automated assembly lines.</w:t>
      </w:r>
    </w:p>
    <w:p>
      <w:pPr>
        <w:numPr>
          <w:ilvl w:val="0"/>
          <w:numId w:val="1001"/>
        </w:numPr>
        <w:pStyle w:val="Compact"/>
      </w:pPr>
      <w:r>
        <w:t xml:space="preserve">Integration of robotic systems with existing PLC (Programmable Logic Controller) infrastructure and SCADA monitoring platforms.</w:t>
      </w:r>
    </w:p>
    <w:p>
      <w:pPr>
        <w:numPr>
          <w:ilvl w:val="0"/>
          <w:numId w:val="1001"/>
        </w:numPr>
        <w:pStyle w:val="Compact"/>
      </w:pPr>
      <w:r>
        <w:t xml:space="preserve">Development of custom end-effectors and gripper mechanisms tailored to the client's product specifications.</w:t>
      </w:r>
    </w:p>
    <w:p>
      <w:pPr>
        <w:numPr>
          <w:ilvl w:val="0"/>
          <w:numId w:val="1001"/>
        </w:numPr>
        <w:pStyle w:val="Compact"/>
      </w:pPr>
      <w:r>
        <w:t xml:space="preserve">Conducting safety assessments in compliance with Myanmar's Occupational Safety and Health Act and international ISO 10218 standards.</w:t>
      </w:r>
    </w:p>
    <w:p>
      <w:pPr>
        <w:numPr>
          <w:ilvl w:val="0"/>
          <w:numId w:val="1001"/>
        </w:numPr>
        <w:pStyle w:val="Compact"/>
      </w:pPr>
      <w:r>
        <w:t xml:space="preserve">Providing on-site training to the client's technical staff in</w:t>
      </w:r>
      <w:r>
        <w:t xml:space="preserve"> </w:t>
      </w:r>
      <w:r>
        <w:t xml:space="preserve">Myanmar Yangon</w:t>
      </w:r>
      <w:r>
        <w:t xml:space="preserve"> </w:t>
      </w:r>
      <w:r>
        <w:t xml:space="preserve">for system operation, basic troubleshooting, and preventive maintenance.</w:t>
      </w:r>
    </w:p>
    <w:p>
      <w:pPr>
        <w:numPr>
          <w:ilvl w:val="0"/>
          <w:numId w:val="1001"/>
        </w:numPr>
        <w:pStyle w:val="Compact"/>
      </w:pPr>
      <w:r>
        <w:t xml:space="preserve">Delivery of complete technical documentation, including wiring diagrams, program source code, and operation manuals in both English and Burmese.</w:t>
      </w:r>
    </w:p>
    <w:p>
      <w:pPr>
        <w:numPr>
          <w:ilvl w:val="0"/>
          <w:numId w:val="1001"/>
        </w:numPr>
        <w:pStyle w:val="Compact"/>
      </w:pPr>
      <w:r>
        <w:t xml:space="preserve">Post-commissioning support and warranty service for a period of twelve (12) months from the date of final acceptance.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Rate (MMK)</w:t>
            </w:r>
          </w:p>
        </w:tc>
        <w:tc>
          <w:tcPr/>
          <w:p>
            <w:pPr>
              <w:pStyle w:val="Compact"/>
              <w:jc w:val="left"/>
            </w:pPr>
            <w:r>
              <w:t xml:space="preserve">Amount (MMK)</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Senior Robotics Engineer – Design &amp; Programming (on-site in Myanmar Yangon)</w:t>
            </w:r>
          </w:p>
        </w:tc>
        <w:tc>
          <w:tcPr/>
          <w:p>
            <w:pPr>
              <w:pStyle w:val="Compact"/>
              <w:jc w:val="left"/>
            </w:pPr>
            <w:r>
              <w:t xml:space="preserve">1 Engineer</w:t>
            </w:r>
          </w:p>
        </w:tc>
        <w:tc>
          <w:tcPr/>
          <w:p>
            <w:pPr>
              <w:pStyle w:val="Compact"/>
              <w:jc w:val="left"/>
            </w:pPr>
            <w:r>
              <w:t xml:space="preserve">450,000 / day</w:t>
            </w:r>
          </w:p>
        </w:tc>
        <w:tc>
          <w:tcPr/>
          <w:p>
            <w:pPr>
              <w:pStyle w:val="Compact"/>
              <w:jc w:val="left"/>
            </w:pPr>
            <w:r>
              <w:t xml:space="preserve">13,500,000</w:t>
            </w:r>
          </w:p>
        </w:tc>
        <w:tc>
          <w:tcPr/>
          <w:p>
            <w:pPr>
              <w:pStyle w:val="Compact"/>
              <w:jc w:val="left"/>
            </w:pPr>
            <w:r>
              <w:t xml:space="preserve">30 working days</w:t>
            </w:r>
          </w:p>
        </w:tc>
      </w:tr>
      <w:tr>
        <w:tc>
          <w:tcPr/>
          <w:p>
            <w:pPr>
              <w:pStyle w:val="Compact"/>
              <w:jc w:val="left"/>
            </w:pPr>
            <w:r>
              <w:t xml:space="preserve">2</w:t>
            </w:r>
          </w:p>
        </w:tc>
        <w:tc>
          <w:tcPr/>
          <w:p>
            <w:pPr>
              <w:pStyle w:val="Compact"/>
              <w:jc w:val="left"/>
            </w:pPr>
            <w:r>
              <w:t xml:space="preserve">Junior Robotics Engineer – Assembly &amp; Calibration Support</w:t>
            </w:r>
          </w:p>
        </w:tc>
        <w:tc>
          <w:tcPr/>
          <w:p>
            <w:pPr>
              <w:pStyle w:val="Compact"/>
              <w:jc w:val="left"/>
            </w:pPr>
            <w:r>
              <w:t xml:space="preserve">2 Engineers</w:t>
            </w:r>
          </w:p>
        </w:tc>
        <w:tc>
          <w:tcPr/>
          <w:p>
            <w:pPr>
              <w:pStyle w:val="Compact"/>
              <w:jc w:val="left"/>
            </w:pPr>
            <w:r>
              <w:t xml:space="preserve">250,000 / day</w:t>
            </w:r>
          </w:p>
        </w:tc>
        <w:tc>
          <w:tcPr/>
          <w:p>
            <w:pPr>
              <w:pStyle w:val="Compact"/>
              <w:jc w:val="left"/>
            </w:pPr>
            <w:r>
              <w:t xml:space="preserve">15,000,000</w:t>
            </w:r>
          </w:p>
        </w:tc>
        <w:tc>
          <w:tcPr/>
          <w:p>
            <w:pPr>
              <w:pStyle w:val="Compact"/>
              <w:jc w:val="left"/>
            </w:pPr>
            <w:r>
              <w:t xml:space="preserve">30 working days</w:t>
            </w:r>
          </w:p>
        </w:tc>
      </w:tr>
      <w:tr>
        <w:tc>
          <w:tcPr/>
          <w:p>
            <w:pPr>
              <w:pStyle w:val="Compact"/>
              <w:jc w:val="left"/>
            </w:pPr>
            <w:r>
              <w:t xml:space="preserve">3</w:t>
            </w:r>
          </w:p>
        </w:tc>
        <w:tc>
          <w:tcPr/>
          <w:p>
            <w:pPr>
              <w:pStyle w:val="Compact"/>
              <w:jc w:val="left"/>
            </w:pPr>
            <w:r>
              <w:t xml:space="preserve">Industrial Robotic Arm (6-axis, 10 kg payload) – Supply &amp; Installation</w:t>
            </w:r>
          </w:p>
        </w:tc>
        <w:tc>
          <w:tcPr/>
          <w:p>
            <w:pPr>
              <w:pStyle w:val="Compact"/>
              <w:jc w:val="left"/>
            </w:pPr>
            <w:r>
              <w:t xml:space="preserve">2 Units</w:t>
            </w:r>
          </w:p>
        </w:tc>
        <w:tc>
          <w:tcPr/>
          <w:p>
            <w:pPr>
              <w:pStyle w:val="Compact"/>
              <w:jc w:val="left"/>
            </w:pPr>
            <w:r>
              <w:t xml:space="preserve">18,500,000 / unit</w:t>
            </w:r>
          </w:p>
        </w:tc>
        <w:tc>
          <w:tcPr/>
          <w:p>
            <w:pPr>
              <w:pStyle w:val="Compact"/>
              <w:jc w:val="left"/>
            </w:pPr>
            <w:r>
              <w:t xml:space="preserve">37,000,000</w:t>
            </w:r>
          </w:p>
        </w:tc>
        <w:tc>
          <w:tcPr/>
          <w:p>
            <w:pPr>
              <w:pStyle w:val="Compact"/>
              <w:jc w:val="left"/>
            </w:pPr>
            <w:r>
              <w:t xml:space="preserve">—</w:t>
            </w:r>
          </w:p>
        </w:tc>
      </w:tr>
      <w:tr>
        <w:tc>
          <w:tcPr/>
          <w:p>
            <w:pPr>
              <w:pStyle w:val="Compact"/>
              <w:jc w:val="left"/>
            </w:pPr>
            <w:r>
              <w:t xml:space="preserve">4</w:t>
            </w:r>
          </w:p>
        </w:tc>
        <w:tc>
          <w:tcPr/>
          <w:p>
            <w:pPr>
              <w:pStyle w:val="Compact"/>
              <w:jc w:val="left"/>
            </w:pPr>
            <w:r>
              <w:t xml:space="preserve">Custom End-Effector Gripper Fabrication &amp; Integration</w:t>
            </w:r>
          </w:p>
        </w:tc>
        <w:tc>
          <w:tcPr/>
          <w:p>
            <w:pPr>
              <w:pStyle w:val="Compact"/>
              <w:jc w:val="left"/>
            </w:pPr>
            <w:r>
              <w:t xml:space="preserve">2 Sets</w:t>
            </w:r>
          </w:p>
        </w:tc>
        <w:tc>
          <w:tcPr/>
          <w:p>
            <w:pPr>
              <w:pStyle w:val="Compact"/>
              <w:jc w:val="left"/>
            </w:pPr>
            <w:r>
              <w:t xml:space="preserve">3,200,000 / set</w:t>
            </w:r>
          </w:p>
        </w:tc>
        <w:tc>
          <w:tcPr/>
          <w:p>
            <w:pPr>
              <w:pStyle w:val="Compact"/>
              <w:jc w:val="left"/>
            </w:pPr>
            <w:r>
              <w:t xml:space="preserve">6,400,000</w:t>
            </w:r>
          </w:p>
        </w:tc>
        <w:tc>
          <w:tcPr/>
          <w:p>
            <w:pPr>
              <w:pStyle w:val="Compact"/>
              <w:jc w:val="left"/>
            </w:pPr>
            <w:r>
              <w:t xml:space="preserve">—</w:t>
            </w:r>
          </w:p>
        </w:tc>
      </w:tr>
      <w:tr>
        <w:tc>
          <w:tcPr/>
          <w:p>
            <w:pPr>
              <w:pStyle w:val="Compact"/>
              <w:jc w:val="left"/>
            </w:pPr>
            <w:r>
              <w:t xml:space="preserve">5</w:t>
            </w:r>
          </w:p>
        </w:tc>
        <w:tc>
          <w:tcPr/>
          <w:p>
            <w:pPr>
              <w:pStyle w:val="Compact"/>
              <w:jc w:val="left"/>
            </w:pPr>
            <w:r>
              <w:t xml:space="preserve">PLC &amp; SCADA Integration Services (Siemens S7-1500 platform)</w:t>
            </w:r>
          </w:p>
        </w:tc>
        <w:tc>
          <w:tcPr/>
          <w:p>
            <w:pPr>
              <w:pStyle w:val="Compact"/>
              <w:jc w:val="left"/>
            </w:pPr>
            <w:r>
              <w:t xml:space="preserve">1 Lot</w:t>
            </w:r>
          </w:p>
        </w:tc>
        <w:tc>
          <w:tcPr/>
          <w:p>
            <w:pPr>
              <w:pStyle w:val="Compact"/>
              <w:jc w:val="left"/>
            </w:pPr>
            <w:r>
              <w:t xml:space="preserve">4,800,000 / lot</w:t>
            </w:r>
          </w:p>
        </w:tc>
        <w:tc>
          <w:tcPr/>
          <w:p>
            <w:pPr>
              <w:pStyle w:val="Compact"/>
              <w:jc w:val="left"/>
            </w:pPr>
            <w:r>
              <w:t xml:space="preserve">4,800,000</w:t>
            </w:r>
          </w:p>
        </w:tc>
        <w:tc>
          <w:tcPr/>
          <w:p>
            <w:pPr>
              <w:pStyle w:val="Compact"/>
              <w:jc w:val="left"/>
            </w:pPr>
            <w:r>
              <w:t xml:space="preserve">10 working days</w:t>
            </w:r>
          </w:p>
        </w:tc>
      </w:tr>
      <w:tr>
        <w:tc>
          <w:tcPr/>
          <w:p>
            <w:pPr>
              <w:pStyle w:val="Compact"/>
              <w:jc w:val="left"/>
            </w:pPr>
            <w:r>
              <w:t xml:space="preserve">6</w:t>
            </w:r>
          </w:p>
        </w:tc>
        <w:tc>
          <w:tcPr/>
          <w:p>
            <w:pPr>
              <w:pStyle w:val="Compact"/>
              <w:jc w:val="left"/>
            </w:pPr>
            <w:r>
              <w:t xml:space="preserve">Safety Compliance Audit &amp; Certification (ISO 10218 / Myanmar OSH)</w:t>
            </w:r>
          </w:p>
        </w:tc>
        <w:tc>
          <w:tcPr/>
          <w:p>
            <w:pPr>
              <w:pStyle w:val="Compact"/>
              <w:jc w:val="left"/>
            </w:pPr>
            <w:r>
              <w:t xml:space="preserve">1 Lot</w:t>
            </w:r>
          </w:p>
        </w:tc>
        <w:tc>
          <w:tcPr/>
          <w:p>
            <w:pPr>
              <w:pStyle w:val="Compact"/>
              <w:jc w:val="left"/>
            </w:pPr>
            <w:r>
              <w:t xml:space="preserve">2,500,000 / lot</w:t>
            </w:r>
          </w:p>
        </w:tc>
        <w:tc>
          <w:tcPr/>
          <w:p>
            <w:pPr>
              <w:pStyle w:val="Compact"/>
              <w:jc w:val="left"/>
            </w:pPr>
            <w:r>
              <w:t xml:space="preserve">2,500,000</w:t>
            </w:r>
          </w:p>
        </w:tc>
        <w:tc>
          <w:tcPr/>
          <w:p>
            <w:pPr>
              <w:pStyle w:val="Compact"/>
              <w:jc w:val="left"/>
            </w:pPr>
            <w:r>
              <w:t xml:space="preserve">5 working days</w:t>
            </w:r>
          </w:p>
        </w:tc>
      </w:tr>
      <w:tr>
        <w:tc>
          <w:tcPr/>
          <w:p>
            <w:pPr>
              <w:pStyle w:val="Compact"/>
              <w:jc w:val="left"/>
            </w:pPr>
            <w:r>
              <w:t xml:space="preserve">7</w:t>
            </w:r>
          </w:p>
        </w:tc>
        <w:tc>
          <w:tcPr/>
          <w:p>
            <w:pPr>
              <w:pStyle w:val="Compact"/>
              <w:jc w:val="left"/>
            </w:pPr>
            <w:r>
              <w:t xml:space="preserve">On-Site Training Program for Client Staff (Myanmar Yangon facility)</w:t>
            </w:r>
          </w:p>
        </w:tc>
        <w:tc>
          <w:tcPr/>
          <w:p>
            <w:pPr>
              <w:pStyle w:val="Compact"/>
              <w:jc w:val="left"/>
            </w:pPr>
            <w:r>
              <w:t xml:space="preserve">1 Session</w:t>
            </w:r>
          </w:p>
        </w:tc>
        <w:tc>
          <w:tcPr/>
          <w:p>
            <w:pPr>
              <w:pStyle w:val="Compact"/>
              <w:jc w:val="left"/>
            </w:pPr>
            <w:r>
              <w:t xml:space="preserve">3,000,000 / session</w:t>
            </w:r>
          </w:p>
        </w:tc>
        <w:tc>
          <w:tcPr/>
          <w:p>
            <w:pPr>
              <w:pStyle w:val="Compact"/>
              <w:jc w:val="left"/>
            </w:pPr>
            <w:r>
              <w:t xml:space="preserve">3,000,000</w:t>
            </w:r>
          </w:p>
        </w:tc>
        <w:tc>
          <w:tcPr/>
          <w:p>
            <w:pPr>
              <w:pStyle w:val="Compact"/>
              <w:jc w:val="left"/>
            </w:pPr>
            <w:r>
              <w:t xml:space="preserve">3 days</w:t>
            </w:r>
          </w:p>
        </w:tc>
      </w:tr>
      <w:tr>
        <w:tc>
          <w:tcPr/>
          <w:p>
            <w:pPr>
              <w:pStyle w:val="Compact"/>
              <w:jc w:val="left"/>
            </w:pPr>
            <w:r>
              <w:t xml:space="preserve">8</w:t>
            </w:r>
          </w:p>
        </w:tc>
        <w:tc>
          <w:tcPr/>
          <w:p>
            <w:pPr>
              <w:pStyle w:val="Compact"/>
              <w:jc w:val="left"/>
            </w:pPr>
            <w:r>
              <w:t xml:space="preserve">Technical Documentation &amp; Bilingual Manuals (English / Burmese)</w:t>
            </w:r>
          </w:p>
        </w:tc>
        <w:tc>
          <w:tcPr/>
          <w:p>
            <w:pPr>
              <w:pStyle w:val="Compact"/>
              <w:jc w:val="left"/>
            </w:pPr>
            <w:r>
              <w:t xml:space="preserve">1 Set</w:t>
            </w:r>
          </w:p>
        </w:tc>
        <w:tc>
          <w:tcPr/>
          <w:p>
            <w:pPr>
              <w:pStyle w:val="Compact"/>
              <w:jc w:val="left"/>
            </w:pPr>
            <w:r>
              <w:t xml:space="preserve">1,200,000 / set</w:t>
            </w:r>
          </w:p>
        </w:tc>
        <w:tc>
          <w:tcPr/>
          <w:p>
            <w:pPr>
              <w:pStyle w:val="Compact"/>
              <w:jc w:val="left"/>
            </w:pPr>
            <w:r>
              <w:t xml:space="preserve">1,200,000</w:t>
            </w:r>
          </w:p>
        </w:tc>
        <w:tc>
          <w:tcPr/>
          <w:p>
            <w:pPr>
              <w:pStyle w:val="Compact"/>
              <w:jc w:val="left"/>
            </w:pPr>
            <w:r>
              <w:t xml:space="preserve">—</w:t>
            </w:r>
          </w:p>
        </w:tc>
      </w:tr>
      <w:tr>
        <w:tc>
          <w:tcPr/>
          <w:p>
            <w:pPr>
              <w:pStyle w:val="Compact"/>
              <w:jc w:val="left"/>
            </w:pPr>
            <w:r>
              <w:t xml:space="preserve">9</w:t>
            </w:r>
          </w:p>
        </w:tc>
        <w:tc>
          <w:tcPr/>
          <w:p>
            <w:pPr>
              <w:pStyle w:val="Compact"/>
              <w:jc w:val="left"/>
            </w:pPr>
            <w:r>
              <w:t xml:space="preserve">Travel, Accommodation &amp; Local Transport (within Myanmar Yangon)</w:t>
            </w:r>
          </w:p>
        </w:tc>
        <w:tc>
          <w:tcPr/>
          <w:p>
            <w:pPr>
              <w:pStyle w:val="Compact"/>
              <w:jc w:val="left"/>
            </w:pPr>
            <w:r>
              <w:t xml:space="preserve">1 Lot</w:t>
            </w:r>
          </w:p>
        </w:tc>
        <w:tc>
          <w:tcPr/>
          <w:p>
            <w:pPr>
              <w:pStyle w:val="Compact"/>
              <w:jc w:val="left"/>
            </w:pPr>
            <w:r>
              <w:t xml:space="preserve">1,800,000 / lot</w:t>
            </w:r>
          </w:p>
        </w:tc>
        <w:tc>
          <w:tcPr/>
          <w:p>
            <w:pPr>
              <w:pStyle w:val="Compact"/>
              <w:jc w:val="left"/>
            </w:pPr>
            <w:r>
              <w:t xml:space="preserve">1,800,000</w:t>
            </w:r>
          </w:p>
        </w:tc>
        <w:tc>
          <w:tcPr/>
          <w:p>
            <w:pPr>
              <w:pStyle w:val="Compact"/>
              <w:jc w:val="left"/>
            </w:pPr>
            <w:r>
              <w:t xml:space="preserve">35 days</w:t>
            </w:r>
          </w:p>
        </w:tc>
      </w:tr>
      <w:tr>
        <w:tc>
          <w:tcPr/>
          <w:p>
            <w:pPr>
              <w:pStyle w:val="Compact"/>
              <w:jc w:val="left"/>
            </w:pPr>
            <w:r>
              <w:t xml:space="preserve">10</w:t>
            </w:r>
          </w:p>
        </w:tc>
        <w:tc>
          <w:tcPr/>
          <w:p>
            <w:pPr>
              <w:pStyle w:val="Compact"/>
              <w:jc w:val="left"/>
            </w:pPr>
            <w:r>
              <w:t xml:space="preserve">Post-Commissioning Warranty &amp; Remote Support (12 months)</w:t>
            </w:r>
          </w:p>
        </w:tc>
        <w:tc>
          <w:tcPr/>
          <w:p>
            <w:pPr>
              <w:pStyle w:val="Compact"/>
              <w:jc w:val="left"/>
            </w:pPr>
            <w:r>
              <w:t xml:space="preserve">1 Lot</w:t>
            </w:r>
          </w:p>
        </w:tc>
        <w:tc>
          <w:tcPr/>
          <w:p>
            <w:pPr>
              <w:pStyle w:val="Compact"/>
              <w:jc w:val="left"/>
            </w:pPr>
            <w:r>
              <w:t xml:space="preserve">5,000,000 / lot</w:t>
            </w:r>
          </w:p>
        </w:tc>
        <w:tc>
          <w:tcPr/>
          <w:p>
            <w:pPr>
              <w:pStyle w:val="Compact"/>
              <w:jc w:val="left"/>
            </w:pPr>
            <w:r>
              <w:t xml:space="preserve">5,000,000</w:t>
            </w:r>
          </w:p>
        </w:tc>
        <w:tc>
          <w:tcPr/>
          <w:p>
            <w:pPr>
              <w:pStyle w:val="Compact"/>
              <w:jc w:val="left"/>
            </w:pPr>
            <w:r>
              <w:t xml:space="preserve">12 months</w:t>
            </w:r>
          </w:p>
        </w:tc>
      </w:tr>
      <w:tr>
        <w:tc>
          <w:tcPr>
            <w:gridSpan w:val="4"/>
          </w:tcPr>
          <w:p>
            <w:pPr>
              <w:pStyle w:val="Compact"/>
              <w:jc w:val="right"/>
            </w:pPr>
            <w:r>
              <w:t xml:space="preserve">Subtotal (MMK)</w:t>
            </w:r>
          </w:p>
        </w:tc>
        <w:tc>
          <w:tcPr/>
          <w:p>
            <w:pPr>
              <w:pStyle w:val="Compact"/>
              <w:jc w:val="left"/>
            </w:pPr>
            <w:r>
              <w:t xml:space="preserve">90,200,000</w:t>
            </w:r>
          </w:p>
        </w:tc>
        <w:tc>
          <w:tcPr/>
          <w:p>
            <w:pPr>
              <w:pStyle w:val="Compact"/>
            </w:pPr>
          </w:p>
        </w:tc>
      </w:tr>
      <w:tr>
        <w:tc>
          <w:tcPr>
            <w:gridSpan w:val="4"/>
          </w:tcPr>
          <w:p>
            <w:pPr>
              <w:pStyle w:val="Compact"/>
              <w:jc w:val="right"/>
            </w:pPr>
            <w:r>
              <w:t xml:space="preserve">VAT @ 5% (Myanmar Standard Rate)</w:t>
            </w:r>
          </w:p>
        </w:tc>
        <w:tc>
          <w:tcPr/>
          <w:p>
            <w:pPr>
              <w:pStyle w:val="Compact"/>
              <w:jc w:val="left"/>
            </w:pPr>
            <w:r>
              <w:t xml:space="preserve">4,510,000</w:t>
            </w:r>
          </w:p>
        </w:tc>
        <w:tc>
          <w:tcPr/>
          <w:p>
            <w:pPr>
              <w:pStyle w:val="Compact"/>
            </w:pPr>
          </w:p>
        </w:tc>
      </w:tr>
      <w:tr>
        <w:tc>
          <w:tcPr>
            <w:gridSpan w:val="4"/>
          </w:tcPr>
          <w:p>
            <w:pPr>
              <w:pStyle w:val="Compact"/>
              <w:jc w:val="right"/>
            </w:pPr>
            <w:r>
              <w:t xml:space="preserve">GRAND TOTAL (MMK)</w:t>
            </w:r>
          </w:p>
        </w:tc>
        <w:tc>
          <w:tcPr/>
          <w:p>
            <w:pPr>
              <w:pStyle w:val="Compact"/>
              <w:jc w:val="left"/>
            </w:pPr>
            <w:r>
              <w:t xml:space="preserve">94,710,000</w:t>
            </w:r>
          </w:p>
        </w:tc>
        <w:tc>
          <w:tcPr/>
          <w:p>
            <w:pPr>
              <w:pStyle w:val="Compact"/>
            </w:pPr>
          </w:p>
        </w:tc>
      </w:tr>
    </w:tbl>
    <w:p>
      <w:pPr>
        <w:pStyle w:val="BodyText"/>
      </w:pPr>
      <w:r>
        <w:rPr>
          <w:bCs/>
          <w:b/>
        </w:rPr>
        <w:t xml:space="preserve">Note:</w:t>
      </w:r>
      <w:r>
        <w:t xml:space="preserve"> </w:t>
      </w:r>
      <w:r>
        <w:t xml:space="preserve">All monetary values in this</w:t>
      </w:r>
      <w:r>
        <w:t xml:space="preserve"> </w:t>
      </w:r>
      <w:r>
        <w:t xml:space="preserve">Quotation Estimate</w:t>
      </w:r>
      <w:r>
        <w:t xml:space="preserve"> </w:t>
      </w:r>
      <w:r>
        <w:t xml:space="preserve">are denominated in Myanmar Kyat (MMK). The exchange rate referenced for international component procurement is 1 USD = 5,100 MMK as of the date of issue. Any fluctuation exceeding 5% prior to procurement may result in a revised</w:t>
      </w:r>
      <w:r>
        <w:t xml:space="preserve"> </w:t>
      </w:r>
      <w:r>
        <w:t xml:space="preserve">Quotation Estimate</w:t>
      </w:r>
      <w:r>
        <w:t xml:space="preserve"> </w:t>
      </w:r>
      <w:r>
        <w:t xml:space="preserve">issued to the client.</w:t>
      </w:r>
    </w:p>
    <w:bookmarkEnd w:id="23"/>
    <w:bookmarkStart w:id="24" w:name="payment-terms"/>
    <w:p>
      <w:pPr>
        <w:pStyle w:val="Heading2"/>
      </w:pPr>
      <w:r>
        <w:t xml:space="preserve">4. Payment Terms</w:t>
      </w:r>
    </w:p>
    <w:p>
      <w:pPr>
        <w:numPr>
          <w:ilvl w:val="0"/>
          <w:numId w:val="1002"/>
        </w:numPr>
        <w:pStyle w:val="Compact"/>
      </w:pPr>
      <w:r>
        <w:rPr>
          <w:bCs/>
          <w:b/>
        </w:rPr>
        <w:t xml:space="preserve">30% Advance Payment:</w:t>
      </w:r>
      <w:r>
        <w:t xml:space="preserve"> </w:t>
      </w:r>
      <w:r>
        <w:t xml:space="preserve">MMK 28,413,000 – Due upon signed acceptance of this</w:t>
      </w:r>
      <w:r>
        <w:t xml:space="preserve"> </w:t>
      </w:r>
      <w:r>
        <w:t xml:space="preserve">Quotation Estimate</w:t>
      </w:r>
      <w:r>
        <w:t xml:space="preserve"> </w:t>
      </w:r>
      <w:r>
        <w:t xml:space="preserve">and execution of the Service Agreement.</w:t>
      </w:r>
    </w:p>
    <w:p>
      <w:pPr>
        <w:numPr>
          <w:ilvl w:val="0"/>
          <w:numId w:val="1002"/>
        </w:numPr>
        <w:pStyle w:val="Compact"/>
      </w:pPr>
      <w:r>
        <w:rPr>
          <w:bCs/>
          <w:b/>
        </w:rPr>
        <w:t xml:space="preserve">40% Progress Payment:</w:t>
      </w:r>
      <w:r>
        <w:t xml:space="preserve"> </w:t>
      </w:r>
      <w:r>
        <w:t xml:space="preserve">MMK 37,884,000 – Due upon successful commissioning and client sign-off of the robotic systems at the</w:t>
      </w:r>
      <w:r>
        <w:t xml:space="preserve"> </w:t>
      </w:r>
      <w:r>
        <w:t xml:space="preserve">Myanmar Yangon</w:t>
      </w:r>
      <w:r>
        <w:t xml:space="preserve"> </w:t>
      </w:r>
      <w:r>
        <w:t xml:space="preserve">facility.</w:t>
      </w:r>
    </w:p>
    <w:p>
      <w:pPr>
        <w:numPr>
          <w:ilvl w:val="0"/>
          <w:numId w:val="1002"/>
        </w:numPr>
        <w:pStyle w:val="Compact"/>
      </w:pPr>
      <w:r>
        <w:rPr>
          <w:bCs/>
          <w:b/>
        </w:rPr>
        <w:t xml:space="preserve">30% Final Payment:</w:t>
      </w:r>
      <w:r>
        <w:t xml:space="preserve"> </w:t>
      </w:r>
      <w:r>
        <w:t xml:space="preserve">MMK 28,413,000 – Due upon completion of the training program, delivery of all documentation, and commencement of the warranty period.</w:t>
      </w:r>
    </w:p>
    <w:p>
      <w:pPr>
        <w:numPr>
          <w:ilvl w:val="0"/>
          <w:numId w:val="1002"/>
        </w:numPr>
        <w:pStyle w:val="Compact"/>
      </w:pPr>
      <w:r>
        <w:t xml:space="preserve">All payments shall be made via bank transfer to the account of Myanmar Tech Solutions Co., Ltd. at CB Bank, Yangon Branch. Payment is due within fourteen (14) calendar days of invoice issuance.</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days from the date of issue. Beyond this period, pricing may be subject to revision based on material cost changes and</w:t>
      </w:r>
      <w:r>
        <w:t xml:space="preserve"> </w:t>
      </w:r>
      <w:r>
        <w:t xml:space="preserve">Robotics Engineer</w:t>
      </w:r>
      <w:r>
        <w:t xml:space="preserve"> </w:t>
      </w:r>
      <w:r>
        <w:t xml:space="preserve">availability in the</w:t>
      </w:r>
      <w:r>
        <w:t xml:space="preserve"> </w:t>
      </w:r>
      <w:r>
        <w:t xml:space="preserve">Myanmar Yangon</w:t>
      </w:r>
      <w:r>
        <w:t xml:space="preserve"> </w:t>
      </w:r>
      <w:r>
        <w:t xml:space="preserve">market.</w:t>
      </w:r>
    </w:p>
    <w:p>
      <w:pPr>
        <w:numPr>
          <w:ilvl w:val="0"/>
          <w:numId w:val="1003"/>
        </w:numPr>
        <w:pStyle w:val="Compact"/>
      </w:pPr>
      <w:r>
        <w:t xml:space="preserve">The</w:t>
      </w:r>
      <w:r>
        <w:t xml:space="preserve"> </w:t>
      </w:r>
      <w:r>
        <w:t xml:space="preserve">Robotics Engineer</w:t>
      </w:r>
      <w:r>
        <w:t xml:space="preserve"> </w:t>
      </w:r>
      <w:r>
        <w:t xml:space="preserve">team shall adhere to all applicable Myanmar labor laws, immigration regulations (for any expatriate engineers), and site-specific safety protocols at the client's</w:t>
      </w:r>
      <w:r>
        <w:t xml:space="preserve"> </w:t>
      </w:r>
      <w:r>
        <w:t xml:space="preserve">Myanmar Yangon</w:t>
      </w:r>
      <w:r>
        <w:t xml:space="preserve"> </w:t>
      </w:r>
      <w:r>
        <w:t xml:space="preserve">premises.</w:t>
      </w:r>
    </w:p>
    <w:p>
      <w:pPr>
        <w:numPr>
          <w:ilvl w:val="0"/>
          <w:numId w:val="1003"/>
        </w:numPr>
        <w:pStyle w:val="Compact"/>
      </w:pPr>
      <w:r>
        <w:t xml:space="preserve">Intellectual property developed specifically for the client under this engagement shall be transferred to the client upon full payment. General methodologies and pre-existing tools remain the property of Myanmar Tech Solutions Co., Ltd.</w:t>
      </w:r>
    </w:p>
    <w:p>
      <w:pPr>
        <w:numPr>
          <w:ilvl w:val="0"/>
          <w:numId w:val="1003"/>
        </w:numPr>
        <w:pStyle w:val="Compact"/>
      </w:pPr>
      <w:r>
        <w:t xml:space="preserve">Force majeure events, including but not limited to natural disasters, government-mandated shutdowns, or supply chain disruptions affecting the</w:t>
      </w:r>
      <w:r>
        <w:t xml:space="preserve"> </w:t>
      </w:r>
      <w:r>
        <w:t xml:space="preserve">Myanmar Yangon</w:t>
      </w:r>
      <w:r>
        <w:t xml:space="preserve"> </w:t>
      </w:r>
      <w:r>
        <w:t xml:space="preserve">region, shall extend project timelines proportionally without penalty to either party.</w:t>
      </w:r>
    </w:p>
    <w:p>
      <w:pPr>
        <w:numPr>
          <w:ilvl w:val="0"/>
          <w:numId w:val="1003"/>
        </w:numPr>
        <w:pStyle w:val="Compact"/>
      </w:pPr>
      <w:r>
        <w:t xml:space="preserve">Disputes arising from this</w:t>
      </w:r>
      <w:r>
        <w:t xml:space="preserve"> </w:t>
      </w:r>
      <w:r>
        <w:t xml:space="preserve">Quotation Estimate</w:t>
      </w:r>
      <w:r>
        <w:t xml:space="preserve"> </w:t>
      </w:r>
      <w:r>
        <w:t xml:space="preserve">or the resulting contract shall be resolved through amicable negotiation, failing which they shall be submitted to arbitration under the rules of the Myanmar Arbitration Centre in Yangon.</w:t>
      </w:r>
    </w:p>
    <w:p>
      <w:pPr>
        <w:numPr>
          <w:ilvl w:val="0"/>
          <w:numId w:val="1003"/>
        </w:numPr>
        <w:pStyle w:val="Compact"/>
      </w:pPr>
      <w:r>
        <w:t xml:space="preserve">The</w:t>
      </w:r>
      <w:r>
        <w:t xml:space="preserve"> </w:t>
      </w:r>
      <w:r>
        <w:t xml:space="preserve">Robotics Engineer</w:t>
      </w:r>
      <w:r>
        <w:t xml:space="preserve"> </w:t>
      </w:r>
      <w:r>
        <w:t xml:space="preserve">shall maintain professional liability insurance with a minimum coverage of MMK 500,000,000 for the duration of the project.</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Robotics Engineer</w:t>
      </w:r>
      <w:r>
        <w:t xml:space="preserve"> </w:t>
      </w:r>
      <w:r>
        <w:t xml:space="preserve">team at the designated</w:t>
      </w:r>
      <w:r>
        <w:t xml:space="preserve"> </w:t>
      </w:r>
      <w:r>
        <w:t xml:space="preserve">Myanmar Yangon</w:t>
      </w:r>
      <w:r>
        <w:t xml:space="preserve"> </w:t>
      </w:r>
      <w:r>
        <w:t xml:space="preserve">facility.</w:t>
      </w:r>
    </w:p>
    <w:p>
      <w:pPr>
        <w:pStyle w:val="BodyText"/>
      </w:pPr>
      <w:r>
        <w:rPr>
          <w:bCs/>
          <w:b/>
        </w:rPr>
        <w:t xml:space="preserve">For and on behalf of:</w:t>
      </w:r>
      <w:r>
        <w:br/>
      </w:r>
      <w:r>
        <w:t xml:space="preserve">Myanmar Tech Solutions Co., Ltd.</w:t>
      </w:r>
    </w:p>
    <w:p>
      <w:pPr>
        <w:pStyle w:val="BodyText"/>
      </w:pPr>
      <w:r>
        <w:t xml:space="preserve">Name: U Kyaw Zin Htun</w:t>
      </w:r>
    </w:p>
    <w:p>
      <w:pPr>
        <w:pStyle w:val="BodyText"/>
      </w:pPr>
      <w:r>
        <w:t xml:space="preserve">Title: Chief Executive Officer</w:t>
      </w:r>
    </w:p>
    <w:p>
      <w:pPr>
        <w:pStyle w:val="BodyText"/>
      </w:pPr>
      <w:r>
        <w:t xml:space="preserve">Date: _______________</w:t>
      </w:r>
    </w:p>
    <w:p>
      <w:pPr>
        <w:pStyle w:val="BodyText"/>
      </w:pPr>
      <w:r>
        <w:rPr>
          <w:bCs/>
          <w:b/>
        </w:rPr>
        <w:t xml:space="preserve">Accepted by (Client):</w:t>
      </w:r>
      <w:r>
        <w:br/>
      </w:r>
      <w:r>
        <w:t xml:space="preserve">Yangon Industrial Automation Group</w:t>
      </w:r>
    </w:p>
    <w:p>
      <w:pPr>
        <w:pStyle w:val="BodyText"/>
      </w:pPr>
      <w:r>
        <w:t xml:space="preserve">Name: U Aung Myint</w:t>
      </w:r>
    </w:p>
    <w:p>
      <w:pPr>
        <w:pStyle w:val="BodyText"/>
      </w:pPr>
      <w:r>
        <w:t xml:space="preserve">Title: Procurement Manager</w:t>
      </w:r>
    </w:p>
    <w:p>
      <w:pPr>
        <w:pStyle w:val="BodyText"/>
      </w:pPr>
      <w:r>
        <w:t xml:space="preserve">Date: _______________</w:t>
      </w:r>
    </w:p>
    <w:p>
      <w:pPr>
        <w:pStyle w:val="BodyText"/>
      </w:pPr>
      <w:r>
        <w:t xml:space="preserve">Myanmar Tech Solutions Co., Ltd. | 25th Street, Sanchaung Township, Yangon, Myanmar</w:t>
      </w:r>
    </w:p>
    <w:p>
      <w:pPr>
        <w:pStyle w:val="BodyText"/>
      </w:pPr>
      <w:r>
        <w:t xml:space="preserve">This Quotation Estimate is a confidential commercial document. Unauthorized reproduction or distribution is prohibited.</w:t>
      </w:r>
    </w:p>
    <w:p>
      <w:pPr>
        <w:pStyle w:val="BodyText"/>
      </w:pPr>
      <w:r>
        <w:t xml:space="preserve">Document Ref: QTE-2025-YGN-0472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Robotics Engineer Services - Myanmar Yangon</dc:title>
  <dc:creator/>
  <dc:language>en</dc:language>
  <cp:keywords/>
  <dcterms:created xsi:type="dcterms:W3CDTF">2026-10-10T03:34:18Z</dcterms:created>
  <dcterms:modified xsi:type="dcterms:W3CDTF">2026-10-10T03:34:18Z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