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Prepared for deployment in</w:t>
      </w:r>
      <w:r>
        <w:t xml:space="preserve"> </w:t>
      </w:r>
      <w:r>
        <w:rPr>
          <w:bCs/>
          <w:b/>
        </w:rPr>
        <w:t xml:space="preserve">Netherlands Amsterdam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Reference:</w:t>
            </w:r>
          </w:p>
        </w:tc>
        <w:tc>
          <w:tcPr/>
          <w:p>
            <w:pPr>
              <w:pStyle w:val="Compact"/>
              <w:jc w:val="left"/>
            </w:pPr>
            <w:r>
              <w:t xml:space="preserve">QE-2025-AMST-0847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By:</w:t>
            </w:r>
          </w:p>
        </w:tc>
        <w:tc>
          <w:tcPr/>
          <w:p>
            <w:pPr>
              <w:pStyle w:val="Compact"/>
              <w:jc w:val="left"/>
            </w:pPr>
            <w:r>
              <w:t xml:space="preserve">Amsterdam Robotics Solutions B.V.</w:t>
            </w:r>
          </w:p>
        </w:tc>
      </w:tr>
      <w:tr>
        <w:tc>
          <w:tcPr/>
          <w:p>
            <w:pPr>
              <w:pStyle w:val="Compact"/>
              <w:jc w:val="left"/>
            </w:pPr>
            <w:r>
              <w:t xml:space="preserve">Address:</w:t>
            </w:r>
          </w:p>
        </w:tc>
        <w:tc>
          <w:tcPr/>
          <w:p>
            <w:pPr>
              <w:pStyle w:val="Compact"/>
              <w:jc w:val="left"/>
            </w:pPr>
            <w:r>
              <w:t xml:space="preserve">Herengracht 420, 1017 CA Amsterdam, Netherlands</w:t>
            </w:r>
          </w:p>
        </w:tc>
      </w:tr>
      <w:tr>
        <w:tc>
          <w:tcPr/>
          <w:p>
            <w:pPr>
              <w:pStyle w:val="Compact"/>
              <w:jc w:val="left"/>
            </w:pPr>
            <w:r>
              <w:t xml:space="preserve">Client:</w:t>
            </w:r>
          </w:p>
        </w:tc>
        <w:tc>
          <w:tcPr/>
          <w:p>
            <w:pPr>
              <w:pStyle w:val="Compact"/>
              <w:jc w:val="left"/>
            </w:pPr>
            <w:r>
              <w:t xml:space="preserve">[Client Name / Organization]</w:t>
            </w:r>
          </w:p>
        </w:tc>
      </w:tr>
      <w:tr>
        <w:tc>
          <w:tcPr/>
          <w:p>
            <w:pPr>
              <w:pStyle w:val="Compact"/>
              <w:jc w:val="left"/>
            </w:pPr>
            <w:r>
              <w:t xml:space="preserve">Project Title:</w:t>
            </w:r>
          </w:p>
        </w:tc>
        <w:tc>
          <w:tcPr/>
          <w:p>
            <w:pPr>
              <w:pStyle w:val="Compact"/>
              <w:jc w:val="left"/>
            </w:pPr>
            <w:r>
              <w:t xml:space="preserve">Robotics Engineer Engagement – Industrial Automation &amp; Autonomous Systems</w:t>
            </w:r>
          </w:p>
        </w:tc>
      </w:tr>
      <w:tr>
        <w:tc>
          <w:tcPr/>
          <w:p>
            <w:pPr>
              <w:pStyle w:val="Compact"/>
              <w:jc w:val="left"/>
            </w:pPr>
            <w:r>
              <w:t xml:space="preserve">Location of Work:</w:t>
            </w:r>
          </w:p>
        </w:tc>
        <w:tc>
          <w:tcPr/>
          <w:p>
            <w:pPr>
              <w:pStyle w:val="Compact"/>
              <w:jc w:val="left"/>
            </w:pPr>
            <w:r>
              <w:t xml:space="preserve">Netherlands Amsterdam (and surrounding Randstad region)</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Amsterdam Robotics Solutions B.V. to provide a comprehensive financial and operational proposal for the engagement of a senior</w:t>
      </w:r>
      <w:r>
        <w:t xml:space="preserve"> </w:t>
      </w:r>
      <w:r>
        <w:t xml:space="preserve">Robotics Engineer</w:t>
      </w:r>
      <w:r>
        <w:t xml:space="preserve"> </w:t>
      </w:r>
      <w:r>
        <w:t xml:space="preserve">to support the client's industrial automation and autonomous systems programme. The proposed engagement is specifically tailored for operations based in</w:t>
      </w:r>
      <w:r>
        <w:t xml:space="preserve"> </w:t>
      </w:r>
      <w:r>
        <w:t xml:space="preserve">Netherlands Amsterdam</w:t>
      </w:r>
      <w:r>
        <w:t xml:space="preserve">, leveraging the city's position as a leading European hub for advanced manufacturing, logistics automation, and research-driven robotics innovation. This document outlines the scope of services, deliverables, timeline, and associated costs for the Robotics Engineer role, ensuring full transparency and alignment with the client's strategic objectives.</w:t>
      </w:r>
    </w:p>
    <w:bookmarkEnd w:id="21"/>
    <w:bookmarkStart w:id="26" w:name="scope-of-work"/>
    <w:p>
      <w:pPr>
        <w:pStyle w:val="Heading2"/>
      </w:pPr>
      <w:r>
        <w:t xml:space="preserve">2. Scope of Work</w:t>
      </w:r>
    </w:p>
    <w:p>
      <w:pPr>
        <w:pStyle w:val="FirstParagraph"/>
      </w:pPr>
      <w:r>
        <w:t xml:space="preserve">The</w:t>
      </w:r>
      <w:r>
        <w:t xml:space="preserve"> </w:t>
      </w:r>
      <w:r>
        <w:t xml:space="preserve">Robotics Engineer</w:t>
      </w:r>
      <w:r>
        <w:t xml:space="preserve"> </w:t>
      </w:r>
      <w:r>
        <w:t xml:space="preserve">engaged under this Quotation Estimate will be responsible for the following core activities within the Netherlands Amsterdam operational environment:</w:t>
      </w:r>
    </w:p>
    <w:bookmarkStart w:id="22" w:name="system-design-architecture"/>
    <w:p>
      <w:pPr>
        <w:pStyle w:val="Heading3"/>
      </w:pPr>
      <w:r>
        <w:t xml:space="preserve">2.1 System Design &amp; Architecture</w:t>
      </w:r>
    </w:p>
    <w:p>
      <w:pPr>
        <w:pStyle w:val="FirstParagraph"/>
      </w:pPr>
      <w:r>
        <w:t xml:space="preserve">Design, model, and simulate robotic systems including collaborative robots (cobots), autonomous mobile robots (AMRs), and multi-axis manipulators. The Robotics Engineer will produce detailed system architecture documents, kinematic analyses, and control-loop specifications compliant with European Machinery Directive 2006/42/EC and applicable Dutch safety regulations enforced by the Netherlands Enterprise Agency (RVO).</w:t>
      </w:r>
    </w:p>
    <w:bookmarkEnd w:id="22"/>
    <w:bookmarkStart w:id="23" w:name="software-development-integration"/>
    <w:p>
      <w:pPr>
        <w:pStyle w:val="Heading3"/>
      </w:pPr>
      <w:r>
        <w:t xml:space="preserve">2.2 Software Development &amp; Integration</w:t>
      </w:r>
    </w:p>
    <w:p>
      <w:pPr>
        <w:pStyle w:val="FirstParagraph"/>
      </w:pPr>
      <w:r>
        <w:t xml:space="preserve">Develop and maintain firmware, middleware, and application-layer software for robotic platforms. This includes ROS 2 (Robot Operating System) node development, PLC programming (Siemens TIA Portal, Beckhoff TwinCAT), and integration with the client's existing MES/ERP infrastructure located at the Amsterdam logistics and manufacturing sites.</w:t>
      </w:r>
    </w:p>
    <w:bookmarkEnd w:id="23"/>
    <w:bookmarkStart w:id="24" w:name="commissioning-field-deployment"/>
    <w:p>
      <w:pPr>
        <w:pStyle w:val="Heading3"/>
      </w:pPr>
      <w:r>
        <w:t xml:space="preserve">2.3 Commissioning &amp; Field Deployment</w:t>
      </w:r>
    </w:p>
    <w:p>
      <w:pPr>
        <w:pStyle w:val="FirstParagraph"/>
      </w:pPr>
      <w:r>
        <w:t xml:space="preserve">Perform on-site commissioning, calibration, and performance validation of robotic workstations at the client's facilities in Netherlands Amsterdam. The Robotics Engineer will coordinate with local installation partners, electrical contractors, and safety officers to ensure all deployments meet the client's operational readiness criteria.</w:t>
      </w:r>
    </w:p>
    <w:bookmarkEnd w:id="24"/>
    <w:bookmarkStart w:id="25" w:name="ongoing-support-optimization"/>
    <w:p>
      <w:pPr>
        <w:pStyle w:val="Heading3"/>
      </w:pPr>
      <w:r>
        <w:t xml:space="preserve">2.4 Ongoing Support &amp; Optimization</w:t>
      </w:r>
    </w:p>
    <w:p>
      <w:pPr>
        <w:pStyle w:val="FirstParagraph"/>
      </w:pPr>
      <w:r>
        <w:t xml:space="preserve">Provide continuous technical support, predictive maintenance planning, and performance optimization for the installed robotic systems. The Robotics Engineer will conduct quarterly performance reviews and submit improvement recommendations to the client's operations management team in Amsterdam.</w:t>
      </w:r>
    </w:p>
    <w:bookmarkEnd w:id="25"/>
    <w:bookmarkEnd w:id="26"/>
    <w:bookmarkStart w:id="27" w:name="deliverables"/>
    <w:p>
      <w:pPr>
        <w:pStyle w:val="Heading2"/>
      </w:pPr>
      <w:r>
        <w:t xml:space="preserve">3. Deliverables</w:t>
      </w:r>
    </w:p>
    <w:p>
      <w:pPr>
        <w:pStyle w:val="FirstParagraph"/>
      </w:pPr>
      <w:r>
        <w:t xml:space="preserve">As part of this Quotation Estimate, the following deliverables are committed for the Robotics Engineer engagement in Netherlands Amsterdam:</w:t>
      </w:r>
    </w:p>
    <w:p>
      <w:pPr>
        <w:numPr>
          <w:ilvl w:val="0"/>
          <w:numId w:val="1001"/>
        </w:numPr>
        <w:pStyle w:val="Compact"/>
      </w:pPr>
      <w:r>
        <w:t xml:space="preserve">Complete system design documentation package (mechanical, electrical, software) – due within 6 weeks of project kickoff.</w:t>
      </w:r>
    </w:p>
    <w:p>
      <w:pPr>
        <w:numPr>
          <w:ilvl w:val="0"/>
          <w:numId w:val="1001"/>
        </w:numPr>
        <w:pStyle w:val="Compact"/>
      </w:pPr>
      <w:r>
        <w:t xml:space="preserve">Functional safety assessment report compliant with IEC 62443 and Dutch NEN-EN standards.</w:t>
      </w:r>
    </w:p>
    <w:p>
      <w:pPr>
        <w:numPr>
          <w:ilvl w:val="0"/>
          <w:numId w:val="1001"/>
        </w:numPr>
        <w:pStyle w:val="Compact"/>
      </w:pPr>
      <w:r>
        <w:t xml:space="preserve">Commissioning report and as-built documentation for each robotic cell deployed in the Amsterdam facility.</w:t>
      </w:r>
    </w:p>
    <w:p>
      <w:pPr>
        <w:numPr>
          <w:ilvl w:val="0"/>
          <w:numId w:val="1001"/>
        </w:numPr>
        <w:pStyle w:val="Compact"/>
      </w:pPr>
      <w:r>
        <w:t xml:space="preserve">Operator training programme (minimum 40 hours) delivered on-site in Netherlands Amsterdam.</w:t>
      </w:r>
    </w:p>
    <w:p>
      <w:pPr>
        <w:numPr>
          <w:ilvl w:val="0"/>
          <w:numId w:val="1001"/>
        </w:numPr>
        <w:pStyle w:val="Compact"/>
      </w:pPr>
      <w:r>
        <w:t xml:space="preserve">Quarterly performance and optimization reports for the duration of the engagement.</w:t>
      </w:r>
    </w:p>
    <w:p>
      <w:pPr>
        <w:numPr>
          <w:ilvl w:val="0"/>
          <w:numId w:val="1001"/>
        </w:numPr>
        <w:pStyle w:val="Compact"/>
      </w:pPr>
      <w:r>
        <w:t xml:space="preserve">Final handover dossier including spare parts list, maintenance schedules, and warranty documentation.</w:t>
      </w:r>
    </w:p>
    <w:bookmarkEnd w:id="27"/>
    <w:bookmarkStart w:id="28" w:name="project-timeline"/>
    <w:p>
      <w:pPr>
        <w:pStyle w:val="Heading2"/>
      </w:pPr>
      <w:r>
        <w:t xml:space="preserve">4. Project Timeline</w:t>
      </w:r>
    </w:p>
    <w:p>
      <w:pPr>
        <w:pStyle w:val="FirstParagraph"/>
      </w:pPr>
      <w:r>
        <w:t xml:space="preserve">The Robotics Engineer engagement is structured over a 12-month period with the following key milestones, all executed from the Netherlands Amsterdam base: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 Discovery &amp; Design</w:t>
            </w:r>
          </w:p>
        </w:tc>
        <w:tc>
          <w:tcPr/>
          <w:p>
            <w:pPr>
              <w:pStyle w:val="Compact"/>
              <w:jc w:val="left"/>
            </w:pPr>
            <w:r>
              <w:t xml:space="preserve">Weeks 1–6</w:t>
            </w:r>
          </w:p>
        </w:tc>
        <w:tc>
          <w:tcPr/>
          <w:p>
            <w:pPr>
              <w:pStyle w:val="Compact"/>
              <w:jc w:val="left"/>
            </w:pPr>
            <w:r>
              <w:t xml:space="preserve">Requirements gathering, system architecture, simulation</w:t>
            </w:r>
          </w:p>
        </w:tc>
      </w:tr>
      <w:tr>
        <w:tc>
          <w:tcPr/>
          <w:p>
            <w:pPr>
              <w:pStyle w:val="Compact"/>
              <w:jc w:val="left"/>
            </w:pPr>
            <w:r>
              <w:t xml:space="preserve">Phase 2 – Development &amp; Integration</w:t>
            </w:r>
          </w:p>
        </w:tc>
        <w:tc>
          <w:tcPr/>
          <w:p>
            <w:pPr>
              <w:pStyle w:val="Compact"/>
              <w:jc w:val="left"/>
            </w:pPr>
            <w:r>
              <w:t xml:space="preserve">Weeks 7–16</w:t>
            </w:r>
          </w:p>
        </w:tc>
        <w:tc>
          <w:tcPr/>
          <w:p>
            <w:pPr>
              <w:pStyle w:val="Compact"/>
              <w:jc w:val="left"/>
            </w:pPr>
            <w:r>
              <w:t xml:space="preserve">Software development, hardware procurement, bench testing</w:t>
            </w:r>
          </w:p>
        </w:tc>
      </w:tr>
      <w:tr>
        <w:tc>
          <w:tcPr/>
          <w:p>
            <w:pPr>
              <w:pStyle w:val="Compact"/>
              <w:jc w:val="left"/>
            </w:pPr>
            <w:r>
              <w:t xml:space="preserve">Phase 3 – Commissioning in Amsterdam</w:t>
            </w:r>
          </w:p>
        </w:tc>
        <w:tc>
          <w:tcPr/>
          <w:p>
            <w:pPr>
              <w:pStyle w:val="Compact"/>
              <w:jc w:val="left"/>
            </w:pPr>
            <w:r>
              <w:t xml:space="preserve">Weeks 17–22</w:t>
            </w:r>
          </w:p>
        </w:tc>
        <w:tc>
          <w:tcPr/>
          <w:p>
            <w:pPr>
              <w:pStyle w:val="Compact"/>
              <w:jc w:val="left"/>
            </w:pPr>
            <w:r>
              <w:t xml:space="preserve">On-site installation, calibration, safety validation</w:t>
            </w:r>
          </w:p>
        </w:tc>
      </w:tr>
      <w:tr>
        <w:tc>
          <w:tcPr/>
          <w:p>
            <w:pPr>
              <w:pStyle w:val="Compact"/>
              <w:jc w:val="left"/>
            </w:pPr>
            <w:r>
              <w:t xml:space="preserve">Phase 4 – Training &amp; Handover</w:t>
            </w:r>
          </w:p>
        </w:tc>
        <w:tc>
          <w:tcPr/>
          <w:p>
            <w:pPr>
              <w:pStyle w:val="Compact"/>
              <w:jc w:val="left"/>
            </w:pPr>
            <w:r>
              <w:t xml:space="preserve">Weeks 23–26</w:t>
            </w:r>
          </w:p>
        </w:tc>
        <w:tc>
          <w:tcPr/>
          <w:p>
            <w:pPr>
              <w:pStyle w:val="Compact"/>
              <w:jc w:val="left"/>
            </w:pPr>
            <w:r>
              <w:t xml:space="preserve">Operator training, documentation delivery, go-live</w:t>
            </w:r>
          </w:p>
        </w:tc>
      </w:tr>
      <w:tr>
        <w:tc>
          <w:tcPr/>
          <w:p>
            <w:pPr>
              <w:pStyle w:val="Compact"/>
              <w:jc w:val="left"/>
            </w:pPr>
            <w:r>
              <w:t xml:space="preserve">Phase 5 – Ongoing Support</w:t>
            </w:r>
          </w:p>
        </w:tc>
        <w:tc>
          <w:tcPr/>
          <w:p>
            <w:pPr>
              <w:pStyle w:val="Compact"/>
              <w:jc w:val="left"/>
            </w:pPr>
            <w:r>
              <w:t xml:space="preserve">Weeks 27–52</w:t>
            </w:r>
          </w:p>
        </w:tc>
        <w:tc>
          <w:tcPr/>
          <w:p>
            <w:pPr>
              <w:pStyle w:val="Compact"/>
              <w:jc w:val="left"/>
            </w:pPr>
            <w:r>
              <w:t xml:space="preserve">Performance monitoring, optimization, quarterly reviews</w:t>
            </w:r>
          </w:p>
        </w:tc>
      </w:tr>
    </w:tbl>
    <w:bookmarkEnd w:id="28"/>
    <w:bookmarkStart w:id="29" w:name="financial-quotation-estimate"/>
    <w:p>
      <w:pPr>
        <w:pStyle w:val="Heading2"/>
      </w:pPr>
      <w:r>
        <w:t xml:space="preserve">5. Financial Quotation Estimate</w:t>
      </w:r>
    </w:p>
    <w:p>
      <w:pPr>
        <w:pStyle w:val="FirstParagraph"/>
      </w:pPr>
      <w:r>
        <w:t xml:space="preserve">The following table presents the detailed cost breakdown for the</w:t>
      </w:r>
      <w:r>
        <w:t xml:space="preserve"> </w:t>
      </w:r>
      <w:r>
        <w:t xml:space="preserve">Robotics Engineer</w:t>
      </w:r>
      <w:r>
        <w:t xml:space="preserve"> </w:t>
      </w:r>
      <w:r>
        <w:t xml:space="preserve">engagement. All figures are quoted in Euros (EUR) and are exclusive of Dutch VAT (21%) unless otherwise stated. This Quotation Estimate reflects current market rates for specialized robotics engineering talent in the Netherlands Amsterdam region.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 Cost (EUR)</w:t>
            </w:r>
          </w:p>
        </w:tc>
      </w:tr>
      <w:tr>
        <w:tc>
          <w:tcPr/>
          <w:p>
            <w:pPr>
              <w:pStyle w:val="Compact"/>
              <w:jc w:val="left"/>
            </w:pPr>
            <w:r>
              <w:t xml:space="preserve">1</w:t>
            </w:r>
          </w:p>
        </w:tc>
        <w:tc>
          <w:tcPr/>
          <w:p>
            <w:pPr>
              <w:pStyle w:val="Compact"/>
              <w:jc w:val="left"/>
            </w:pPr>
            <w:r>
              <w:t xml:space="preserve">Robotics Engineer – Senior (Design &amp; Development), 40 hrs/week, 26 weeks</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Robotics Engineer – Commissioning &amp; Field Support, 26 weeks</w:t>
            </w:r>
          </w:p>
        </w:tc>
        <w:tc>
          <w:tcPr/>
          <w:p>
            <w:pPr>
              <w:pStyle w:val="Compact"/>
              <w:jc w:val="left"/>
            </w:pPr>
            <w:r>
              <w:t xml:space="preserve">€52,000</w:t>
            </w:r>
          </w:p>
        </w:tc>
      </w:tr>
      <w:tr>
        <w:tc>
          <w:tcPr/>
          <w:p>
            <w:pPr>
              <w:pStyle w:val="Compact"/>
              <w:jc w:val="left"/>
            </w:pPr>
            <w:r>
              <w:t xml:space="preserve">3</w:t>
            </w:r>
          </w:p>
        </w:tc>
        <w:tc>
          <w:tcPr/>
          <w:p>
            <w:pPr>
              <w:pStyle w:val="Compact"/>
              <w:jc w:val="left"/>
            </w:pPr>
            <w:r>
              <w:t xml:space="preserve">Travel &amp; Accommodation within Netherlands Amsterdam metro area</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Specialized software licences (ROS 2 Pro, MATLAB/Simulink, PLC tooling)</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Operator training delivery (40 hours, on-site Amsterdam)</w:t>
            </w:r>
          </w:p>
        </w:tc>
        <w:tc>
          <w:tcPr/>
          <w:p>
            <w:pPr>
              <w:pStyle w:val="Compact"/>
              <w:jc w:val="left"/>
            </w:pPr>
            <w:r>
              <w:t xml:space="preserve">€9,600</w:t>
            </w:r>
          </w:p>
        </w:tc>
      </w:tr>
      <w:tr>
        <w:tc>
          <w:tcPr/>
          <w:p>
            <w:pPr>
              <w:pStyle w:val="Compact"/>
              <w:jc w:val="left"/>
            </w:pPr>
            <w:r>
              <w:t xml:space="preserve">6</w:t>
            </w:r>
          </w:p>
        </w:tc>
        <w:tc>
          <w:tcPr/>
          <w:p>
            <w:pPr>
              <w:pStyle w:val="Compact"/>
              <w:jc w:val="left"/>
            </w:pPr>
            <w:r>
              <w:t xml:space="preserve">Project management &amp; coordination overhead (10%)</w:t>
            </w:r>
          </w:p>
        </w:tc>
        <w:tc>
          <w:tcPr/>
          <w:p>
            <w:pPr>
              <w:pStyle w:val="Compact"/>
              <w:jc w:val="left"/>
            </w:pPr>
            <w:r>
              <w:t xml:space="preserve">€22,910</w:t>
            </w:r>
          </w:p>
        </w:tc>
      </w:tr>
      <w:tr>
        <w:tc>
          <w:tcPr/>
          <w:p>
            <w:pPr>
              <w:pStyle w:val="Compact"/>
              <w:jc w:val="left"/>
            </w:pPr>
            <w:r>
              <w:t xml:space="preserve">7</w:t>
            </w:r>
          </w:p>
        </w:tc>
        <w:tc>
          <w:tcPr/>
          <w:p>
            <w:pPr>
              <w:pStyle w:val="Compact"/>
              <w:jc w:val="left"/>
            </w:pPr>
            <w:r>
              <w:t xml:space="preserve">Contingency allowance (5%)</w:t>
            </w:r>
          </w:p>
        </w:tc>
        <w:tc>
          <w:tcPr/>
          <w:p>
            <w:pPr>
              <w:pStyle w:val="Compact"/>
              <w:jc w:val="left"/>
            </w:pPr>
            <w:r>
              <w:t xml:space="preserve">€11,455</w:t>
            </w:r>
          </w:p>
        </w:tc>
      </w:tr>
      <w:tr>
        <w:tc>
          <w:tcPr>
            <w:gridSpan w:val="2"/>
          </w:tcPr>
          <w:p>
            <w:pPr>
              <w:pStyle w:val="Compact"/>
              <w:jc w:val="left"/>
            </w:pPr>
            <w:r>
              <w:t xml:space="preserve">Subtotal (excl. VAT)</w:t>
            </w:r>
          </w:p>
        </w:tc>
        <w:tc>
          <w:tcPr/>
          <w:p>
            <w:pPr>
              <w:pStyle w:val="Compact"/>
              <w:jc w:val="left"/>
            </w:pPr>
            <w:r>
              <w:t xml:space="preserve">€264,465</w:t>
            </w:r>
          </w:p>
        </w:tc>
      </w:tr>
      <w:tr>
        <w:tc>
          <w:tcPr>
            <w:gridSpan w:val="2"/>
          </w:tcPr>
          <w:p>
            <w:pPr>
              <w:pStyle w:val="Compact"/>
              <w:jc w:val="left"/>
            </w:pPr>
            <w:r>
              <w:t xml:space="preserve">Dutch VAT (21%)</w:t>
            </w:r>
          </w:p>
        </w:tc>
        <w:tc>
          <w:tcPr/>
          <w:p>
            <w:pPr>
              <w:pStyle w:val="Compact"/>
              <w:jc w:val="left"/>
            </w:pPr>
            <w:r>
              <w:t xml:space="preserve">€55,538</w:t>
            </w:r>
          </w:p>
        </w:tc>
      </w:tr>
      <w:tr>
        <w:tc>
          <w:tcPr>
            <w:gridSpan w:val="2"/>
          </w:tcPr>
          <w:p>
            <w:pPr>
              <w:pStyle w:val="Compact"/>
              <w:jc w:val="left"/>
            </w:pPr>
            <w:r>
              <w:t xml:space="preserve">Grand Total (incl. VAT)</w:t>
            </w:r>
          </w:p>
        </w:tc>
        <w:tc>
          <w:tcPr/>
          <w:p>
            <w:pPr>
              <w:pStyle w:val="Compact"/>
              <w:jc w:val="left"/>
            </w:pPr>
            <w:r>
              <w:t xml:space="preserve">€320,003</w:t>
            </w:r>
          </w:p>
        </w:tc>
      </w:tr>
    </w:tbl>
    <w:bookmarkEnd w:id="29"/>
    <w:bookmarkStart w:id="30" w:name="terms-conditions"/>
    <w:p>
      <w:pPr>
        <w:pStyle w:val="Heading2"/>
      </w:pPr>
      <w:r>
        <w:t xml:space="preserve">6. Terms &amp; Conditions</w:t>
      </w:r>
    </w:p>
    <w:p>
      <w:pPr>
        <w:numPr>
          <w:ilvl w:val="0"/>
          <w:numId w:val="1002"/>
        </w:numPr>
        <w:pStyle w:val="Compact"/>
      </w:pPr>
      <w:r>
        <w:t xml:space="preserve">This Quotation Estimate is valid for a period of 90 calendar days from the date of issue. After this period, pricing for the Robotics Engineer engagement may be subject to revision based on market conditions in the Netherlands Amsterdam engineering sector.</w:t>
      </w:r>
    </w:p>
    <w:p>
      <w:pPr>
        <w:numPr>
          <w:ilvl w:val="0"/>
          <w:numId w:val="1002"/>
        </w:numPr>
        <w:pStyle w:val="Compact"/>
      </w:pPr>
      <w:r>
        <w:t xml:space="preserve">Payment terms: 30% upon contract signature, 40% upon completion of Phase 3 (Commissioning in Amsterdam), and 30% upon final handover and acceptance.</w:t>
      </w:r>
    </w:p>
    <w:p>
      <w:pPr>
        <w:numPr>
          <w:ilvl w:val="0"/>
          <w:numId w:val="1002"/>
        </w:numPr>
        <w:pStyle w:val="Compact"/>
      </w:pPr>
      <w:r>
        <w:t xml:space="preserve">The Robotics Engineer shall comply with all applicable Dutch labour laws, including the Working Hours Act (Wet arbeidsomstandigheden) and the Dutch Data Protection Act (Uitvoeringswet AVG / GDPR).</w:t>
      </w:r>
    </w:p>
    <w:p>
      <w:pPr>
        <w:numPr>
          <w:ilvl w:val="0"/>
          <w:numId w:val="1002"/>
        </w:numPr>
        <w:pStyle w:val="Compact"/>
      </w:pPr>
      <w:r>
        <w:t xml:space="preserve">All intellectual property developed specifically for the client during this engagement shall vest in the client upon full payment, as detailed in the separate Intellectual Property Agreement.</w:t>
      </w:r>
    </w:p>
    <w:p>
      <w:pPr>
        <w:numPr>
          <w:ilvl w:val="0"/>
          <w:numId w:val="1002"/>
        </w:numPr>
        <w:pStyle w:val="Compact"/>
      </w:pPr>
      <w:r>
        <w:t xml:space="preserve">Confidentiality obligations as defined in the mutual NDA shall remain in force for a period of 3 years following the conclusion of the project.</w:t>
      </w:r>
    </w:p>
    <w:p>
      <w:pPr>
        <w:numPr>
          <w:ilvl w:val="0"/>
          <w:numId w:val="1002"/>
        </w:numPr>
        <w:pStyle w:val="Compact"/>
      </w:pPr>
      <w:r>
        <w:t xml:space="preserve">Force majeure events, including but not limited to natural disasters, pandemics, or government-mandated shutdowns in the Netherlands, shall extend the project timeline proportionally without penalty to either party.</w:t>
      </w:r>
    </w:p>
    <w:p>
      <w:pPr>
        <w:numPr>
          <w:ilvl w:val="0"/>
          <w:numId w:val="1002"/>
        </w:numPr>
        <w:pStyle w:val="Compact"/>
      </w:pPr>
      <w:r>
        <w:t xml:space="preserve">Disputes arising from this Quotation Estimate or the resulting contract shall be resolved by the competent courts of Amsterdam, Netherlands, or by arbitration under the rules of the Netherlands Arbitration Institute (NVI).</w:t>
      </w:r>
    </w:p>
    <w:p>
      <w:pPr>
        <w:numPr>
          <w:ilvl w:val="0"/>
          <w:numId w:val="1002"/>
        </w:numPr>
        <w:pStyle w:val="Compact"/>
      </w:pPr>
      <w:r>
        <w:t xml:space="preserve">Any changes to the scope of work must be documented in a formal Change Order signed by both parties before implementation. The Robotics Engineer's rate for change-order work shall be €185 per hour.</w:t>
      </w:r>
    </w:p>
    <w:bookmarkEnd w:id="30"/>
    <w:bookmarkStart w:id="31" w:name="acceptance-authorization"/>
    <w:p>
      <w:pPr>
        <w:pStyle w:val="Heading2"/>
      </w:pPr>
      <w:r>
        <w:t xml:space="preserve">7. Acceptance &amp; Authorization</w:t>
      </w:r>
    </w:p>
    <w:p>
      <w:pPr>
        <w:pStyle w:val="FirstParagraph"/>
      </w:pPr>
      <w:r>
        <w:t xml:space="preserve">By signing below, the client acknowledges and accepts this Quotation Estimate for the Robotics Engineer services to be delivered in Netherlands Amsterdam. This signature constitutes a binding agreement subject to the terms and conditions outlined herein.</w:t>
      </w:r>
    </w:p>
    <w:p>
      <w:pPr>
        <w:pStyle w:val="BodyText"/>
      </w:pPr>
      <w:r>
        <w:rPr>
          <w:bCs/>
          <w:b/>
        </w:rPr>
        <w:t xml:space="preserve">For Amsterdam Robotics Solutions B.V.</w:t>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Quotation Estimate QE-2025-AMST-0847 | Robotics Engineer Services | Netherlands Amsterdam</w:t>
      </w:r>
      <w:r>
        <w:br/>
      </w:r>
      <w:r>
        <w:t xml:space="preserve">Amsterdam Robotics Solutions B.V. | KvK 87654321 | BTW NL867543212B01</w:t>
      </w:r>
      <w:r>
        <w:br/>
      </w:r>
      <w:r>
        <w:t xml:space="preserve">This document is confidential and intended solely for the named recipient.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Netherlands Amsterdam</dc:title>
  <dc:creator/>
  <dc:language>en</dc:language>
  <cp:keywords/>
  <dcterms:created xsi:type="dcterms:W3CDTF">2026-10-10T02:16:06Z</dcterms:created>
  <dcterms:modified xsi:type="dcterms:W3CDTF">2026-10-10T02:16:06Z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