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Qatar</w:t>
      </w:r>
      <w:r>
        <w:t xml:space="preserve"> </w:t>
      </w:r>
      <w:r>
        <w:t xml:space="preserve">Doha</w:t>
      </w:r>
    </w:p>
    <w:bookmarkStart w:id="20" w:name="quotation-estimate"/>
    <w:p>
      <w:pPr>
        <w:pStyle w:val="Heading1"/>
      </w:pPr>
      <w:r>
        <w:t xml:space="preserve">Quotation Estimate</w:t>
      </w:r>
    </w:p>
    <w:p>
      <w:pPr>
        <w:pStyle w:val="FirstParagraph"/>
      </w:pPr>
      <w:r>
        <w:t xml:space="preserve">Professional Services for Robotics Engineer Engagement</w:t>
      </w:r>
    </w:p>
    <w:p>
      <w:pPr>
        <w:pStyle w:val="BodyText"/>
      </w:pPr>
      <w:r>
        <w:t xml:space="preserve">Location: Qatar Doha | Document Ref: QE-ROB-QD-2025-0047</w:t>
      </w:r>
    </w:p>
    <w:p>
      <w:pPr>
        <w:pStyle w:val="BodyText"/>
      </w:pPr>
      <w:r>
        <w:t xml:space="preserve">CONFIDENTIAL</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Date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issue date (until 15 July 2025)</w:t>
            </w:r>
          </w:p>
        </w:tc>
      </w:tr>
      <w:tr>
        <w:tc>
          <w:tcPr/>
          <w:p>
            <w:pPr>
              <w:pStyle w:val="Compact"/>
              <w:jc w:val="left"/>
            </w:pPr>
            <w:r>
              <w:t xml:space="preserve">Prepared For (Client)</w:t>
            </w:r>
          </w:p>
        </w:tc>
        <w:tc>
          <w:tcPr/>
          <w:p>
            <w:pPr>
              <w:pStyle w:val="Compact"/>
              <w:jc w:val="left"/>
            </w:pPr>
            <w:r>
              <w:t xml:space="preserve">Qatar Industrial Development &amp; Investment Zone (QIDIZONE) – Doha, Qatar</w:t>
            </w:r>
          </w:p>
        </w:tc>
      </w:tr>
      <w:tr>
        <w:tc>
          <w:tcPr/>
          <w:p>
            <w:pPr>
              <w:pStyle w:val="Compact"/>
              <w:jc w:val="left"/>
            </w:pPr>
            <w:r>
              <w:t xml:space="preserve">Prepared By (Provider)</w:t>
            </w:r>
          </w:p>
        </w:tc>
        <w:tc>
          <w:tcPr/>
          <w:p>
            <w:pPr>
              <w:pStyle w:val="Compact"/>
              <w:jc w:val="left"/>
            </w:pPr>
            <w:r>
              <w:t xml:space="preserve">Meridian Technical Solutions LLC – Doha, Qatar</w:t>
            </w:r>
          </w:p>
        </w:tc>
      </w:tr>
      <w:tr>
        <w:tc>
          <w:tcPr/>
          <w:p>
            <w:pPr>
              <w:pStyle w:val="Compact"/>
              <w:jc w:val="left"/>
            </w:pPr>
            <w:r>
              <w:t xml:space="preserve">Project Title</w:t>
            </w:r>
          </w:p>
        </w:tc>
        <w:tc>
          <w:tcPr/>
          <w:p>
            <w:pPr>
              <w:pStyle w:val="Compact"/>
              <w:jc w:val="left"/>
            </w:pPr>
            <w:r>
              <w:t xml:space="preserve">Engagement of a Senior Robotics Engineer for Industrial Automation Systems</w:t>
            </w:r>
          </w:p>
        </w:tc>
      </w:tr>
      <w:tr>
        <w:tc>
          <w:tcPr/>
          <w:p>
            <w:pPr>
              <w:pStyle w:val="Compact"/>
              <w:jc w:val="left"/>
            </w:pPr>
            <w:r>
              <w:t xml:space="preserve">Service Location</w:t>
            </w:r>
          </w:p>
        </w:tc>
        <w:tc>
          <w:tcPr/>
          <w:p>
            <w:pPr>
              <w:pStyle w:val="Compact"/>
              <w:jc w:val="left"/>
            </w:pPr>
            <w:r>
              <w:t xml:space="preserve">Doha, Qatar (Primary) with potential site visits across Qatar Doha metropolitan area</w:t>
            </w:r>
          </w:p>
        </w:tc>
      </w:tr>
      <w:tr>
        <w:tc>
          <w:tcPr/>
          <w:p>
            <w:pPr>
              <w:pStyle w:val="Compact"/>
              <w:jc w:val="left"/>
            </w:pPr>
            <w:r>
              <w:t xml:space="preserve">Currency</w:t>
            </w:r>
          </w:p>
        </w:tc>
        <w:tc>
          <w:tcPr/>
          <w:p>
            <w:pPr>
              <w:pStyle w:val="Compact"/>
              <w:jc w:val="left"/>
            </w:pPr>
            <w:r>
              <w:t xml:space="preserve">Qatari Riyal (QAR)</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Meridian Technical Solutions LLC to provide a comprehensive financial and operational breakdown for the recruitment, onboarding, and ongoing professional engagement of a qualified</w:t>
      </w:r>
      <w:r>
        <w:t xml:space="preserve"> </w:t>
      </w:r>
      <w:r>
        <w:t xml:space="preserve">Robotics Engineer</w:t>
      </w:r>
      <w:r>
        <w:t xml:space="preserve"> </w:t>
      </w:r>
      <w:r>
        <w:t xml:space="preserve">to be deployed and based in</w:t>
      </w:r>
      <w:r>
        <w:t xml:space="preserve"> </w:t>
      </w:r>
      <w:r>
        <w:t xml:space="preserve">Qatar Doha</w:t>
      </w:r>
      <w:r>
        <w:t xml:space="preserve">. The purpose of this document is to outline all associated costs, deliverables, timelines, and contractual terms governing the provision of robotics engineering expertise to the client's industrial automation and smart manufacturing initiatives within the Doha industrial corridor.</w:t>
      </w:r>
    </w:p>
    <w:p>
      <w:pPr>
        <w:pStyle w:val="BodyText"/>
      </w:pPr>
      <w:r>
        <w:t xml:space="preserve">The</w:t>
      </w:r>
      <w:r>
        <w:t xml:space="preserve"> </w:t>
      </w:r>
      <w:r>
        <w:t xml:space="preserve">Robotics Engineer</w:t>
      </w:r>
      <w:r>
        <w:t xml:space="preserve"> </w:t>
      </w:r>
      <w:r>
        <w:t xml:space="preserve">proposed under this</w:t>
      </w:r>
      <w:r>
        <w:t xml:space="preserve"> </w:t>
      </w:r>
      <w:r>
        <w:t xml:space="preserve">Quotation Estimate</w:t>
      </w:r>
      <w:r>
        <w:t xml:space="preserve"> </w:t>
      </w:r>
      <w:r>
        <w:t xml:space="preserve">shall possess a minimum of eight (8) years of progressive experience in industrial robotics, mechatronic system design, PLC/SCADA integration, and collaborative robot (cobot) deployment. The candidate will operate primarily from the client's facility in</w:t>
      </w:r>
      <w:r>
        <w:t xml:space="preserve"> </w:t>
      </w:r>
      <w:r>
        <w:t xml:space="preserve">Qatar Doha</w:t>
      </w:r>
      <w:r>
        <w:t xml:space="preserve"> </w:t>
      </w:r>
      <w:r>
        <w:t xml:space="preserve">and will report directly to the Head of Engineering Operations.</w:t>
      </w:r>
    </w:p>
    <w:bookmarkEnd w:id="21"/>
    <w:bookmarkStart w:id="22" w:name="scope-of-work-robotics-engineer-role"/>
    <w:p>
      <w:pPr>
        <w:pStyle w:val="Heading2"/>
      </w:pPr>
      <w:r>
        <w:t xml:space="preserve">2. Scope of Work – Robotics Engineer Role</w:t>
      </w:r>
    </w:p>
    <w:p>
      <w:pPr>
        <w:pStyle w:val="FirstParagraph"/>
      </w:pPr>
      <w:r>
        <w:t xml:space="preserve">The</w:t>
      </w:r>
      <w:r>
        <w:t xml:space="preserve"> </w:t>
      </w:r>
      <w:r>
        <w:t xml:space="preserve">Robotics Engineer</w:t>
      </w:r>
      <w:r>
        <w:t xml:space="preserve"> </w:t>
      </w:r>
      <w:r>
        <w:t xml:space="preserve">engaged under this</w:t>
      </w:r>
      <w:r>
        <w:t xml:space="preserve"> </w:t>
      </w:r>
      <w:r>
        <w:t xml:space="preserve">Quotation Estimate</w:t>
      </w:r>
      <w:r>
        <w:t xml:space="preserve"> </w:t>
      </w:r>
      <w:r>
        <w:t xml:space="preserve">shall be responsible for the following core duties within</w:t>
      </w:r>
      <w:r>
        <w:t xml:space="preserve"> </w:t>
      </w:r>
      <w:r>
        <w:t xml:space="preserve">Qatar Doha</w:t>
      </w:r>
      <w:r>
        <w:t xml:space="preserve">:</w:t>
      </w:r>
    </w:p>
    <w:p>
      <w:pPr>
        <w:numPr>
          <w:ilvl w:val="0"/>
          <w:numId w:val="1001"/>
        </w:numPr>
        <w:pStyle w:val="Compact"/>
      </w:pPr>
      <w:r>
        <w:t xml:space="preserve">Design, develop, and commission industrial robotic cells for welding, assembly, material handling, and quality inspection applications.</w:t>
      </w:r>
    </w:p>
    <w:p>
      <w:pPr>
        <w:numPr>
          <w:ilvl w:val="0"/>
          <w:numId w:val="1001"/>
        </w:numPr>
        <w:pStyle w:val="Compact"/>
      </w:pPr>
      <w:r>
        <w:t xml:space="preserve">Program and configure robotic controllers (FANUC, ABB, KUKA, Yaskawa) and integrate them with existing PLC and SCADA infrastructure.</w:t>
      </w:r>
    </w:p>
    <w:p>
      <w:pPr>
        <w:numPr>
          <w:ilvl w:val="0"/>
          <w:numId w:val="1001"/>
        </w:numPr>
        <w:pStyle w:val="Compact"/>
      </w:pPr>
      <w:r>
        <w:t xml:space="preserve">Conduct feasibility studies and risk assessments for new automation projects across client sites in</w:t>
      </w:r>
      <w:r>
        <w:t xml:space="preserve"> </w:t>
      </w:r>
      <w:r>
        <w:t xml:space="preserve">Qatar Doha</w:t>
      </w:r>
      <w:r>
        <w:t xml:space="preserve">.</w:t>
      </w:r>
    </w:p>
    <w:p>
      <w:pPr>
        <w:numPr>
          <w:ilvl w:val="0"/>
          <w:numId w:val="1001"/>
        </w:numPr>
        <w:pStyle w:val="Compact"/>
      </w:pPr>
      <w:r>
        <w:t xml:space="preserve">Develop and maintain Standard Operating Procedures (SOPs) for robotic system operation, maintenance, and safety compliance in accordance with Qatari industrial regulations.</w:t>
      </w:r>
    </w:p>
    <w:p>
      <w:pPr>
        <w:numPr>
          <w:ilvl w:val="0"/>
          <w:numId w:val="1001"/>
        </w:numPr>
        <w:pStyle w:val="Compact"/>
      </w:pPr>
      <w:r>
        <w:t xml:space="preserve">Lead a team of up to four (4) junior technicians and provide technical mentorship.</w:t>
      </w:r>
    </w:p>
    <w:p>
      <w:pPr>
        <w:numPr>
          <w:ilvl w:val="0"/>
          <w:numId w:val="1001"/>
        </w:numPr>
        <w:pStyle w:val="Compact"/>
      </w:pPr>
      <w:r>
        <w:t xml:space="preserve">Coordinate with OEM vendors and third-party integrators for equipment procurement, installation, and warranty support.</w:t>
      </w:r>
    </w:p>
    <w:p>
      <w:pPr>
        <w:numPr>
          <w:ilvl w:val="0"/>
          <w:numId w:val="1001"/>
        </w:numPr>
        <w:pStyle w:val="Compact"/>
      </w:pPr>
      <w:r>
        <w:t xml:space="preserve">Prepare technical documentation, as-built drawings, and commissioning reports for all robotic systems deployed in</w:t>
      </w:r>
      <w:r>
        <w:t xml:space="preserve"> </w:t>
      </w:r>
      <w:r>
        <w:t xml:space="preserve">Qatar Doha</w:t>
      </w:r>
      <w:r>
        <w:t xml:space="preserve">.</w:t>
      </w:r>
    </w:p>
    <w:p>
      <w:pPr>
        <w:numPr>
          <w:ilvl w:val="0"/>
          <w:numId w:val="1001"/>
        </w:numPr>
        <w:pStyle w:val="Compact"/>
      </w:pPr>
      <w:r>
        <w:t xml:space="preserve">Ensure full compliance with Qatar's Occupational Safety and Health (OSH) standards and the Qatar National Vision 2030 industrial modernization framework.</w:t>
      </w:r>
    </w:p>
    <w:bookmarkEnd w:id="22"/>
    <w:bookmarkStart w:id="23" w:name="financial-breakdown-quotation-estimate"/>
    <w:p>
      <w:pPr>
        <w:pStyle w:val="Heading2"/>
      </w:pPr>
      <w:r>
        <w:t xml:space="preserve">3. Financial Breakdown – Quotation Estimate</w:t>
      </w:r>
    </w:p>
    <w:p>
      <w:pPr>
        <w:pStyle w:val="FirstParagraph"/>
      </w:pPr>
      <w:r>
        <w:t xml:space="preserve">The following table presents the itemized cost structure for this</w:t>
      </w:r>
      <w:r>
        <w:t xml:space="preserve"> </w:t>
      </w:r>
      <w:r>
        <w:t xml:space="preserve">Quotation Estimate</w:t>
      </w:r>
      <w:r>
        <w:t xml:space="preserve"> </w:t>
      </w:r>
      <w:r>
        <w:t xml:space="preserve">covering a twelve (12) month engagement period for the</w:t>
      </w:r>
      <w:r>
        <w:t xml:space="preserve"> </w:t>
      </w:r>
      <w:r>
        <w:t xml:space="preserve">Robotics Engineer</w:t>
      </w:r>
      <w:r>
        <w:t xml:space="preserve"> </w:t>
      </w:r>
      <w:r>
        <w:t xml:space="preserve">in</w:t>
      </w:r>
      <w:r>
        <w:t xml:space="preserve"> </w:t>
      </w:r>
      <w:r>
        <w:t xml:space="preserve">Qatar Doha</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Monthly Professional Fee – Senior Robotics Engineer (inclusive of salary, benefits, and employer obligations)</w:t>
            </w:r>
          </w:p>
        </w:tc>
        <w:tc>
          <w:tcPr/>
          <w:p>
            <w:pPr>
              <w:pStyle w:val="Compact"/>
              <w:jc w:val="left"/>
            </w:pPr>
            <w:r>
              <w:t xml:space="preserve">12 months</w:t>
            </w:r>
          </w:p>
        </w:tc>
        <w:tc>
          <w:tcPr/>
          <w:p>
            <w:pPr>
              <w:pStyle w:val="Compact"/>
              <w:jc w:val="left"/>
            </w:pPr>
            <w:r>
              <w:t xml:space="preserve">480,000.00</w:t>
            </w:r>
          </w:p>
        </w:tc>
      </w:tr>
      <w:tr>
        <w:tc>
          <w:tcPr/>
          <w:p>
            <w:pPr>
              <w:pStyle w:val="Compact"/>
              <w:jc w:val="left"/>
            </w:pPr>
            <w:r>
              <w:t xml:space="preserve">02</w:t>
            </w:r>
          </w:p>
        </w:tc>
        <w:tc>
          <w:tcPr/>
          <w:p>
            <w:pPr>
              <w:pStyle w:val="Compact"/>
              <w:jc w:val="left"/>
            </w:pPr>
            <w:r>
              <w:t xml:space="preserve">Recruitment, Visa Processing, and Work Permit Fees (Qatar Ministry of Labour compliance)</w:t>
            </w:r>
          </w:p>
        </w:tc>
        <w:tc>
          <w:tcPr/>
          <w:p>
            <w:pPr>
              <w:pStyle w:val="Compact"/>
              <w:jc w:val="left"/>
            </w:pPr>
            <w:r>
              <w:t xml:space="preserve">One-time</w:t>
            </w:r>
          </w:p>
        </w:tc>
        <w:tc>
          <w:tcPr/>
          <w:p>
            <w:pPr>
              <w:pStyle w:val="Compact"/>
              <w:jc w:val="left"/>
            </w:pPr>
            <w:r>
              <w:t xml:space="preserve">18,500.00</w:t>
            </w:r>
          </w:p>
        </w:tc>
      </w:tr>
      <w:tr>
        <w:tc>
          <w:tcPr/>
          <w:p>
            <w:pPr>
              <w:pStyle w:val="Compact"/>
              <w:jc w:val="left"/>
            </w:pPr>
            <w:r>
              <w:t xml:space="preserve">03</w:t>
            </w:r>
          </w:p>
        </w:tc>
        <w:tc>
          <w:tcPr/>
          <w:p>
            <w:pPr>
              <w:pStyle w:val="Compact"/>
              <w:jc w:val="left"/>
            </w:pPr>
            <w:r>
              <w:t xml:space="preserve">Relocation Package (Flights, temporary accommodation, settling allowance) – Qatar Doha</w:t>
            </w:r>
          </w:p>
        </w:tc>
        <w:tc>
          <w:tcPr/>
          <w:p>
            <w:pPr>
              <w:pStyle w:val="Compact"/>
              <w:jc w:val="left"/>
            </w:pPr>
            <w:r>
              <w:t xml:space="preserve">One-time</w:t>
            </w:r>
          </w:p>
        </w:tc>
        <w:tc>
          <w:tcPr/>
          <w:p>
            <w:pPr>
              <w:pStyle w:val="Compact"/>
              <w:jc w:val="left"/>
            </w:pPr>
            <w:r>
              <w:t xml:space="preserve">35,000.00</w:t>
            </w:r>
          </w:p>
        </w:tc>
      </w:tr>
      <w:tr>
        <w:tc>
          <w:tcPr/>
          <w:p>
            <w:pPr>
              <w:pStyle w:val="Compact"/>
              <w:jc w:val="left"/>
            </w:pPr>
            <w:r>
              <w:t xml:space="preserve">04</w:t>
            </w:r>
          </w:p>
        </w:tc>
        <w:tc>
          <w:tcPr/>
          <w:p>
            <w:pPr>
              <w:pStyle w:val="Compact"/>
              <w:jc w:val="left"/>
            </w:pPr>
            <w:r>
              <w:t xml:space="preserve">Annual Medical Insurance (Comprehensive – Qatari provider)</w:t>
            </w:r>
          </w:p>
        </w:tc>
        <w:tc>
          <w:tcPr/>
          <w:p>
            <w:pPr>
              <w:pStyle w:val="Compact"/>
              <w:jc w:val="left"/>
            </w:pPr>
            <w:r>
              <w:t xml:space="preserve">12 months</w:t>
            </w:r>
          </w:p>
        </w:tc>
        <w:tc>
          <w:tcPr/>
          <w:p>
            <w:pPr>
              <w:pStyle w:val="Compact"/>
              <w:jc w:val="left"/>
            </w:pPr>
            <w:r>
              <w:t xml:space="preserve">12,000.00</w:t>
            </w:r>
          </w:p>
        </w:tc>
      </w:tr>
      <w:tr>
        <w:tc>
          <w:tcPr/>
          <w:p>
            <w:pPr>
              <w:pStyle w:val="Compact"/>
              <w:jc w:val="left"/>
            </w:pPr>
            <w:r>
              <w:t xml:space="preserve">05</w:t>
            </w:r>
          </w:p>
        </w:tc>
        <w:tc>
          <w:tcPr/>
          <w:p>
            <w:pPr>
              <w:pStyle w:val="Compact"/>
              <w:jc w:val="left"/>
            </w:pPr>
            <w:r>
              <w:t xml:space="preserve">Professional Development &amp; Certification (e.g., FANUC/ABB advanced programming, ISO 10218 safety)</w:t>
            </w:r>
          </w:p>
        </w:tc>
        <w:tc>
          <w:tcPr/>
          <w:p>
            <w:pPr>
              <w:pStyle w:val="Compact"/>
              <w:jc w:val="left"/>
            </w:pPr>
            <w:r>
              <w:t xml:space="preserve">12 months</w:t>
            </w:r>
          </w:p>
        </w:tc>
        <w:tc>
          <w:tcPr/>
          <w:p>
            <w:pPr>
              <w:pStyle w:val="Compact"/>
              <w:jc w:val="left"/>
            </w:pPr>
            <w:r>
              <w:t xml:space="preserve">15,000.00</w:t>
            </w:r>
          </w:p>
        </w:tc>
      </w:tr>
      <w:tr>
        <w:tc>
          <w:tcPr/>
          <w:p>
            <w:pPr>
              <w:pStyle w:val="Compact"/>
              <w:jc w:val="left"/>
            </w:pPr>
            <w:r>
              <w:t xml:space="preserve">06</w:t>
            </w:r>
          </w:p>
        </w:tc>
        <w:tc>
          <w:tcPr/>
          <w:p>
            <w:pPr>
              <w:pStyle w:val="Compact"/>
              <w:jc w:val="left"/>
            </w:pPr>
            <w:r>
              <w:t xml:space="preserve">Management &amp; Administration Fee (10% of Item 01)</w:t>
            </w:r>
          </w:p>
        </w:tc>
        <w:tc>
          <w:tcPr/>
          <w:p>
            <w:pPr>
              <w:pStyle w:val="Compact"/>
              <w:jc w:val="left"/>
            </w:pPr>
            <w:r>
              <w:t xml:space="preserve">12 months</w:t>
            </w:r>
          </w:p>
        </w:tc>
        <w:tc>
          <w:tcPr/>
          <w:p>
            <w:pPr>
              <w:pStyle w:val="Compact"/>
              <w:jc w:val="left"/>
            </w:pPr>
            <w:r>
              <w:t xml:space="preserve">48,000.00</w:t>
            </w:r>
          </w:p>
        </w:tc>
      </w:tr>
      <w:tr>
        <w:tc>
          <w:tcPr/>
          <w:p>
            <w:pPr>
              <w:pStyle w:val="Compact"/>
              <w:jc w:val="left"/>
            </w:pPr>
            <w:r>
              <w:t xml:space="preserve">07</w:t>
            </w:r>
          </w:p>
        </w:tc>
        <w:tc>
          <w:tcPr/>
          <w:p>
            <w:pPr>
              <w:pStyle w:val="Compact"/>
              <w:jc w:val="left"/>
            </w:pPr>
            <w:r>
              <w:t xml:space="preserve">End-of-Service Gratuity Provision (per Qatari Labour Law, Article 77)</w:t>
            </w:r>
          </w:p>
        </w:tc>
        <w:tc>
          <w:tcPr/>
          <w:p>
            <w:pPr>
              <w:pStyle w:val="Compact"/>
              <w:jc w:val="left"/>
            </w:pPr>
            <w:r>
              <w:t xml:space="preserve">12 months</w:t>
            </w:r>
          </w:p>
        </w:tc>
        <w:tc>
          <w:tcPr/>
          <w:p>
            <w:pPr>
              <w:pStyle w:val="Compact"/>
              <w:jc w:val="left"/>
            </w:pPr>
            <w:r>
              <w:t xml:space="preserve">40,000.00</w:t>
            </w:r>
          </w:p>
        </w:tc>
      </w:tr>
      <w:tr>
        <w:tc>
          <w:tcPr>
            <w:gridSpan w:val="3"/>
          </w:tcPr>
          <w:p>
            <w:pPr>
              <w:pStyle w:val="Compact"/>
              <w:jc w:val="left"/>
            </w:pPr>
            <w:r>
              <w:t xml:space="preserve">TOTAL QUOTATION ESTIMATE (QAR)</w:t>
            </w:r>
          </w:p>
        </w:tc>
        <w:tc>
          <w:tcPr/>
          <w:p>
            <w:pPr>
              <w:pStyle w:val="Compact"/>
              <w:jc w:val="left"/>
            </w:pPr>
            <w:r>
              <w:t xml:space="preserve">648,500.00</w:t>
            </w:r>
          </w:p>
        </w:tc>
      </w:tr>
    </w:tbl>
    <w:bookmarkEnd w:id="23"/>
    <w:bookmarkStart w:id="24" w:name="payment-terms"/>
    <w:p>
      <w:pPr>
        <w:pStyle w:val="Heading2"/>
      </w:pPr>
      <w:r>
        <w:t xml:space="preserve">4. Payment Terms</w:t>
      </w:r>
    </w:p>
    <w:p>
      <w:pPr>
        <w:pStyle w:val="FirstParagraph"/>
      </w:pPr>
      <w:r>
        <w:t xml:space="preserve">Payment for this</w:t>
      </w:r>
      <w:r>
        <w:t xml:space="preserve"> </w:t>
      </w:r>
      <w:r>
        <w:t xml:space="preserve">Quotation Estimate</w:t>
      </w:r>
      <w:r>
        <w:t xml:space="preserve"> </w:t>
      </w:r>
      <w:r>
        <w:t xml:space="preserve">shall be structured as follows: a mobilization advance of 15% upon contract signature; monthly invoices issued on the 1st of each calendar month for the</w:t>
      </w:r>
      <w:r>
        <w:t xml:space="preserve"> </w:t>
      </w:r>
      <w:r>
        <w:t xml:space="preserve">Robotics Engineer</w:t>
      </w:r>
      <w:r>
        <w:t xml:space="preserve">'s professional fee, payable within 30 days of invoice receipt; and a final settlement of the end-of-service gratuity provision upon completion of the 12-month term. All payments shall be made in Qatari Riyal (QAR) via bank transfer to the provider's designated account in</w:t>
      </w:r>
      <w:r>
        <w:t xml:space="preserve"> </w:t>
      </w:r>
      <w:r>
        <w:t xml:space="preserve">Qatar Doha</w:t>
      </w:r>
      <w:r>
        <w:t xml:space="preserve">.</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are subject to revision.</w:t>
      </w:r>
    </w:p>
    <w:p>
      <w:pPr>
        <w:numPr>
          <w:ilvl w:val="0"/>
          <w:numId w:val="1002"/>
        </w:numPr>
        <w:pStyle w:val="Compact"/>
      </w:pPr>
      <w:r>
        <w:t xml:space="preserve">The</w:t>
      </w:r>
      <w:r>
        <w:t xml:space="preserve"> </w:t>
      </w:r>
      <w:r>
        <w:t xml:space="preserve">Robotics Engineer</w:t>
      </w:r>
      <w:r>
        <w:t xml:space="preserve"> </w:t>
      </w:r>
      <w:r>
        <w:t xml:space="preserve">shall be subject to a minimum 90-day notice period for termination by either party, in compliance with Qatari Labour Law.</w:t>
      </w:r>
    </w:p>
    <w:p>
      <w:pPr>
        <w:numPr>
          <w:ilvl w:val="0"/>
          <w:numId w:val="1002"/>
        </w:numPr>
        <w:pStyle w:val="Compact"/>
      </w:pPr>
      <w:r>
        <w:t xml:space="preserve">All intellectual property developed by the</w:t>
      </w:r>
      <w:r>
        <w:t xml:space="preserve"> </w:t>
      </w:r>
      <w:r>
        <w:t xml:space="preserve">Robotics Engineer</w:t>
      </w:r>
      <w:r>
        <w:t xml:space="preserve"> </w:t>
      </w:r>
      <w:r>
        <w:t xml:space="preserve">during the engagement in</w:t>
      </w:r>
      <w:r>
        <w:t xml:space="preserve"> </w:t>
      </w:r>
      <w:r>
        <w:t xml:space="preserve">Qatar Doha</w:t>
      </w:r>
      <w:r>
        <w:t xml:space="preserve"> </w:t>
      </w:r>
      <w:r>
        <w:t xml:space="preserve">shall vest exclusively in the client.</w:t>
      </w:r>
    </w:p>
    <w:p>
      <w:pPr>
        <w:numPr>
          <w:ilvl w:val="0"/>
          <w:numId w:val="1002"/>
        </w:numPr>
        <w:pStyle w:val="Compact"/>
      </w:pPr>
      <w:r>
        <w:t xml:space="preserve">The provider shall maintain professional indemnity insurance with a minimum coverage of QAR 5,000,000 throughout the engagement period.</w:t>
      </w:r>
    </w:p>
    <w:p>
      <w:pPr>
        <w:numPr>
          <w:ilvl w:val="0"/>
          <w:numId w:val="1002"/>
        </w:numPr>
        <w:pStyle w:val="Compact"/>
      </w:pPr>
      <w:r>
        <w:t xml:space="preserve">Any change in scope exceeding 10% of the original</w:t>
      </w:r>
      <w:r>
        <w:t xml:space="preserve"> </w:t>
      </w:r>
      <w:r>
        <w:t xml:space="preserve">Quotation Estimate</w:t>
      </w:r>
      <w:r>
        <w:t xml:space="preserve"> </w:t>
      </w:r>
      <w:r>
        <w:t xml:space="preserve">value shall require a formal change order signed by both parties.</w:t>
      </w:r>
    </w:p>
    <w:p>
      <w:pPr>
        <w:numPr>
          <w:ilvl w:val="0"/>
          <w:numId w:val="1002"/>
        </w:numPr>
        <w:pStyle w:val="Compact"/>
      </w:pPr>
      <w:r>
        <w:t xml:space="preserve">Governing law: The laws of the State of Qatar. Disputes shall be resolved through arbitration at the Qatar International Arbitration Centre (QIAC) in Doha.</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and acceptance of this</w:t>
      </w:r>
      <w:r>
        <w:t xml:space="preserve"> </w:t>
      </w:r>
      <w:r>
        <w:t xml:space="preserve">Quotation Estimate</w:t>
      </w:r>
      <w:r>
        <w:t xml:space="preserve"> </w:t>
      </w:r>
      <w:r>
        <w:t xml:space="preserve">for the engagement of a</w:t>
      </w:r>
      <w:r>
        <w:t xml:space="preserve"> </w:t>
      </w:r>
      <w:r>
        <w:t xml:space="preserve">Robotics Engineer</w:t>
      </w:r>
      <w:r>
        <w:t xml:space="preserve"> </w:t>
      </w:r>
      <w:r>
        <w:t xml:space="preserve">in</w:t>
      </w:r>
      <w:r>
        <w:t xml:space="preserve"> </w:t>
      </w:r>
      <w:r>
        <w:t xml:space="preserve">Qatar Doha</w:t>
      </w:r>
      <w:r>
        <w:t xml:space="preserve"> </w:t>
      </w:r>
      <w:r>
        <w:t xml:space="preserve">under the terms and conditions outlined herein.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Representative</w:t>
            </w:r>
          </w:p>
        </w:tc>
        <w:tc>
          <w:tcPr/>
          <w:p>
            <w:pPr>
              <w:pStyle w:val="Compact"/>
              <w:jc w:val="left"/>
            </w:pPr>
            <w:r>
              <w:t xml:space="preserve">Name: _________________________    Signature: _________________________    Date: ____________</w:t>
            </w:r>
          </w:p>
        </w:tc>
      </w:tr>
      <w:tr>
        <w:tc>
          <w:tcPr/>
          <w:p>
            <w:pPr>
              <w:pStyle w:val="Compact"/>
              <w:jc w:val="left"/>
            </w:pPr>
            <w:r>
              <w:t xml:space="preserve">Provider Representative</w:t>
            </w:r>
          </w:p>
        </w:tc>
        <w:tc>
          <w:tcPr/>
          <w:p>
            <w:pPr>
              <w:pStyle w:val="Compact"/>
              <w:jc w:val="left"/>
            </w:pPr>
            <w:r>
              <w:t xml:space="preserve">Name: _________________________    Signature: _________________________    Date: ____________</w:t>
            </w:r>
          </w:p>
        </w:tc>
      </w:tr>
    </w:tbl>
    <w:p>
      <w:pPr>
        <w:pStyle w:val="BodyText"/>
      </w:pPr>
      <w:r>
        <w:t xml:space="preserve">Meridian Technical Solutions LLC | P.O. Box 4821, Doha, Qatar | Tel: +974-4455-6677 | Email: quotations@meridiantech.qa</w:t>
      </w:r>
    </w:p>
    <w:p>
      <w:pPr>
        <w:pStyle w:val="BodyText"/>
      </w:pPr>
      <w:r>
        <w:t xml:space="preserve">This Quotation Estimate document is confidential and intended solely for the named recipient. Unauthorized reproduction or distribution is prohibited.</w:t>
      </w:r>
    </w:p>
    <w:p>
      <w:pPr>
        <w:pStyle w:val="BodyText"/>
      </w:pPr>
      <w:r>
        <w:t xml:space="preserve">Document Ref: QE-ROB-QD-2025-0047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Robotics Engineer - Qatar Doha</dc:title>
  <dc:creator/>
  <dc:language>en</dc:language>
  <cp:keywords/>
  <dcterms:created xsi:type="dcterms:W3CDTF">2026-10-10T01:02:51Z</dcterms:created>
  <dcterms:modified xsi:type="dcterms:W3CDTF">2026-10-10T01:02:51Z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