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Russia</w:t>
      </w:r>
      <w:r>
        <w:t xml:space="preserve"> </w:t>
      </w:r>
      <w:r>
        <w:t xml:space="preserve">Moscow</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Robotics Engineer Services — Russia Moscow</w:t>
      </w:r>
    </w:p>
    <w:p>
      <w:pPr>
        <w:pStyle w:val="BodyText"/>
      </w:pPr>
      <w:r>
        <w:t xml:space="preserve">Document Reference: QE-RM-2025-0471 | Classification: Commercial in Confidence</w:t>
      </w:r>
    </w:p>
    <w:bookmarkEnd w:id="20"/>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By:</w:t>
      </w:r>
      <w:r>
        <w:t xml:space="preserve"> </w:t>
      </w:r>
      <w:r>
        <w:t xml:space="preserve">Engineering Procurement Division</w:t>
      </w:r>
    </w:p>
    <w:p>
      <w:pPr>
        <w:pStyle w:val="BodyText"/>
      </w:pPr>
      <w:r>
        <w:rPr>
          <w:bCs/>
          <w:b/>
        </w:rPr>
        <w:t xml:space="preserve">Client:</w:t>
      </w:r>
      <w:r>
        <w:t xml:space="preserve"> </w:t>
      </w:r>
      <w:r>
        <w:t xml:space="preserve">[Client Organization Name]</w:t>
      </w:r>
    </w:p>
    <w:p>
      <w:pPr>
        <w:pStyle w:val="BodyText"/>
      </w:pPr>
      <w:r>
        <w:rPr>
          <w:bCs/>
          <w:b/>
        </w:rPr>
        <w:t xml:space="preserve">Location:</w:t>
      </w:r>
      <w:r>
        <w:t xml:space="preserve"> </w:t>
      </w:r>
      <w:r>
        <w:t xml:space="preserve">Moscow, Russia</w:t>
      </w:r>
    </w:p>
    <w:p>
      <w:pPr>
        <w:pStyle w:val="BodyText"/>
      </w:pPr>
      <w:r>
        <w:rPr>
          <w:bCs/>
          <w:b/>
        </w:rPr>
        <w:t xml:space="preserve">Project Code:</w:t>
      </w:r>
      <w:r>
        <w:t xml:space="preserve"> </w:t>
      </w:r>
      <w:r>
        <w:t xml:space="preserve">RM-ROB-2025-009</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in response to the formal request for professional services related to the engagement of a qualified</w:t>
      </w:r>
      <w:r>
        <w:t xml:space="preserve"> </w:t>
      </w:r>
      <w:r>
        <w:t xml:space="preserve">Robotics Engineer</w:t>
      </w:r>
      <w:r>
        <w:t xml:space="preserve"> </w:t>
      </w:r>
      <w:r>
        <w:t xml:space="preserve">for deployment and operational support within the</w:t>
      </w:r>
      <w:r>
        <w:t xml:space="preserve"> </w:t>
      </w:r>
      <w:r>
        <w:t xml:space="preserve">Russia Moscow</w:t>
      </w:r>
      <w:r>
        <w:t xml:space="preserve"> </w:t>
      </w:r>
      <w:r>
        <w:t xml:space="preserve">metropolitan area. The purpose of this document is to provide a comprehensive, itemized financial breakdown of all costs associated with the recruitment, onboarding, and sustained professional engagement of a Robotics Engineer who will deliver advanced technical solutions in industrial automation, robotic system design, and autonomous machine integration.</w:t>
      </w:r>
    </w:p>
    <w:p>
      <w:pPr>
        <w:pStyle w:val="BodyText"/>
      </w:pPr>
      <w:r>
        <w:t xml:space="preserve">The scope of this Quotation Estimate encompasses the full lifecycle of the Robotics Engineer engagement, including but not limited to: initial technical assessment, system architecture design, hardware and software integration, field deployment in Moscow-based manufacturing and research facilities, ongoing maintenance, and knowledge transfer to local technical teams. All pricing presented herein reflects current market conditions in Russia Moscow as of the date of issue and accounts for applicable local regulatory requirements, tax obligations, and industry-specific compliance standards.</w:t>
      </w:r>
    </w:p>
    <w:bookmarkEnd w:id="21"/>
    <w:bookmarkStart w:id="22" w:name="professional-profile-robotics-engineer"/>
    <w:p>
      <w:pPr>
        <w:pStyle w:val="Heading2"/>
      </w:pPr>
      <w:r>
        <w:t xml:space="preserve">2. Professional Profile — Robotics Engineer</w:t>
      </w:r>
    </w:p>
    <w:p>
      <w:pPr>
        <w:pStyle w:val="FirstParagraph"/>
      </w:pPr>
      <w:r>
        <w:t xml:space="preserve">The Robotics Engineer proposed under this Quotation Estimate shall possess a minimum of eight (8) years of progressive experience in robotic systems engineering, with demonstrated expertise in the following domains:</w:t>
      </w:r>
    </w:p>
    <w:p>
      <w:pPr>
        <w:numPr>
          <w:ilvl w:val="0"/>
          <w:numId w:val="1001"/>
        </w:numPr>
        <w:pStyle w:val="Compact"/>
      </w:pPr>
      <w:r>
        <w:t xml:space="preserve">Design and programming of industrial robotic arms, collaborative robots (cobots), and autonomous mobile robots (AMRs) for manufacturing and logistics applications in Russia Moscow.</w:t>
      </w:r>
    </w:p>
    <w:p>
      <w:pPr>
        <w:numPr>
          <w:ilvl w:val="0"/>
          <w:numId w:val="1001"/>
        </w:numPr>
        <w:pStyle w:val="Compact"/>
      </w:pPr>
      <w:r>
        <w:t xml:space="preserve">Development of control algorithms, sensor fusion systems, and real-time decision-making frameworks using ROS (Robot Operating System), C++, Python, and MATLAB/Simulink.</w:t>
      </w:r>
    </w:p>
    <w:p>
      <w:pPr>
        <w:numPr>
          <w:ilvl w:val="0"/>
          <w:numId w:val="1001"/>
        </w:numPr>
        <w:pStyle w:val="Compact"/>
      </w:pPr>
      <w:r>
        <w:t xml:space="preserve">Integration of robotic systems with existing SCADA, PLC, and ERP infrastructure within Russian industrial facilities.</w:t>
      </w:r>
    </w:p>
    <w:p>
      <w:pPr>
        <w:numPr>
          <w:ilvl w:val="0"/>
          <w:numId w:val="1001"/>
        </w:numPr>
        <w:pStyle w:val="Compact"/>
      </w:pPr>
      <w:r>
        <w:t xml:space="preserve">Compliance with GOST standards, Russian Federal Technical Regulations, and international ISO 10218 / ISO/TS 15066 safety frameworks applicable to robotic deployments in Russia Moscow.</w:t>
      </w:r>
    </w:p>
    <w:p>
      <w:pPr>
        <w:numPr>
          <w:ilvl w:val="0"/>
          <w:numId w:val="1001"/>
        </w:numPr>
        <w:pStyle w:val="Compact"/>
      </w:pPr>
      <w:r>
        <w:t xml:space="preserve">Project management of multi-disciplinary engineering teams operating across Moscow and surrounding industrial zones.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3.1</w:t>
            </w:r>
          </w:p>
        </w:tc>
        <w:tc>
          <w:tcPr/>
          <w:p>
            <w:pPr>
              <w:pStyle w:val="Compact"/>
              <w:jc w:val="left"/>
            </w:pPr>
            <w:r>
              <w:t xml:space="preserve">Recruitment, vetting, and onboarding of Robotics Engineer for Russia Moscow deployment</w:t>
            </w:r>
          </w:p>
        </w:tc>
        <w:tc>
          <w:tcPr/>
          <w:p>
            <w:pPr>
              <w:pStyle w:val="Compact"/>
              <w:jc w:val="left"/>
            </w:pPr>
            <w:r>
              <w:t xml:space="preserve">1 position / 30 days</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3.2</w:t>
            </w:r>
          </w:p>
        </w:tc>
        <w:tc>
          <w:tcPr/>
          <w:p>
            <w:pPr>
              <w:pStyle w:val="Compact"/>
              <w:jc w:val="left"/>
            </w:pPr>
            <w:r>
              <w:t xml:space="preserve">Monthly professional fee — Robotics Engineer (senior level, full-time)</w:t>
            </w:r>
          </w:p>
        </w:tc>
        <w:tc>
          <w:tcPr/>
          <w:p>
            <w:pPr>
              <w:pStyle w:val="Compact"/>
              <w:jc w:val="left"/>
            </w:pPr>
            <w:r>
              <w:t xml:space="preserve">12 months</w:t>
            </w:r>
          </w:p>
        </w:tc>
        <w:tc>
          <w:tcPr/>
          <w:p>
            <w:pPr>
              <w:pStyle w:val="Compact"/>
              <w:jc w:val="left"/>
            </w:pPr>
            <w:r>
              <w:t xml:space="preserve">9,800</w:t>
            </w:r>
          </w:p>
        </w:tc>
        <w:tc>
          <w:tcPr/>
          <w:p>
            <w:pPr>
              <w:pStyle w:val="Compact"/>
              <w:jc w:val="left"/>
            </w:pPr>
            <w:r>
              <w:t xml:space="preserve">117,600</w:t>
            </w:r>
          </w:p>
        </w:tc>
      </w:tr>
      <w:tr>
        <w:tc>
          <w:tcPr/>
          <w:p>
            <w:pPr>
              <w:pStyle w:val="Compact"/>
              <w:jc w:val="left"/>
            </w:pPr>
            <w:r>
              <w:t xml:space="preserve">3.3</w:t>
            </w:r>
          </w:p>
        </w:tc>
        <w:tc>
          <w:tcPr/>
          <w:p>
            <w:pPr>
              <w:pStyle w:val="Compact"/>
              <w:jc w:val="left"/>
            </w:pPr>
            <w:r>
              <w:t xml:space="preserve">Visa processing, work permit, and local registration in Russia Moscow</w:t>
            </w:r>
          </w:p>
        </w:tc>
        <w:tc>
          <w:tcPr/>
          <w:p>
            <w:pPr>
              <w:pStyle w:val="Compact"/>
              <w:jc w:val="left"/>
            </w:pPr>
            <w:r>
              <w:t xml:space="preserve">1 position</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3.4</w:t>
            </w:r>
          </w:p>
        </w:tc>
        <w:tc>
          <w:tcPr/>
          <w:p>
            <w:pPr>
              <w:pStyle w:val="Compact"/>
              <w:jc w:val="left"/>
            </w:pPr>
            <w:r>
              <w:t xml:space="preserve">Accommodation and local transportation allowance (Moscow, Russia)</w:t>
            </w:r>
          </w:p>
        </w:tc>
        <w:tc>
          <w:tcPr/>
          <w:p>
            <w:pPr>
              <w:pStyle w:val="Compact"/>
              <w:jc w:val="left"/>
            </w:pPr>
            <w:r>
              <w:t xml:space="preserve">12 months</w:t>
            </w:r>
          </w:p>
        </w:tc>
        <w:tc>
          <w:tcPr/>
          <w:p>
            <w:pPr>
              <w:pStyle w:val="Compact"/>
              <w:jc w:val="left"/>
            </w:pPr>
            <w:r>
              <w:t xml:space="preserve">2,400</w:t>
            </w:r>
          </w:p>
        </w:tc>
        <w:tc>
          <w:tcPr/>
          <w:p>
            <w:pPr>
              <w:pStyle w:val="Compact"/>
              <w:jc w:val="left"/>
            </w:pPr>
            <w:r>
              <w:t xml:space="preserve">28,800</w:t>
            </w:r>
          </w:p>
        </w:tc>
      </w:tr>
      <w:tr>
        <w:tc>
          <w:tcPr/>
          <w:p>
            <w:pPr>
              <w:pStyle w:val="Compact"/>
              <w:jc w:val="left"/>
            </w:pPr>
            <w:r>
              <w:t xml:space="preserve">3.5</w:t>
            </w:r>
          </w:p>
        </w:tc>
        <w:tc>
          <w:tcPr/>
          <w:p>
            <w:pPr>
              <w:pStyle w:val="Compact"/>
              <w:jc w:val="left"/>
            </w:pPr>
            <w:r>
              <w:t xml:space="preserve">Technical equipment, software licenses, and lab access (robotic workstations, CAD tools, simulation environments)</w:t>
            </w:r>
          </w:p>
        </w:tc>
        <w:tc>
          <w:tcPr/>
          <w:p>
            <w:pPr>
              <w:pStyle w:val="Compact"/>
              <w:jc w:val="left"/>
            </w:pPr>
            <w:r>
              <w:t xml:space="preserve">12 months</w:t>
            </w:r>
          </w:p>
        </w:tc>
        <w:tc>
          <w:tcPr/>
          <w:p>
            <w:pPr>
              <w:pStyle w:val="Compact"/>
              <w:jc w:val="left"/>
            </w:pPr>
            <w:r>
              <w:t xml:space="preserve">1,850</w:t>
            </w:r>
          </w:p>
        </w:tc>
        <w:tc>
          <w:tcPr/>
          <w:p>
            <w:pPr>
              <w:pStyle w:val="Compact"/>
              <w:jc w:val="left"/>
            </w:pPr>
            <w:r>
              <w:t xml:space="preserve">22,200</w:t>
            </w:r>
          </w:p>
        </w:tc>
      </w:tr>
      <w:tr>
        <w:tc>
          <w:tcPr/>
          <w:p>
            <w:pPr>
              <w:pStyle w:val="Compact"/>
              <w:jc w:val="left"/>
            </w:pPr>
            <w:r>
              <w:t xml:space="preserve">3.6</w:t>
            </w:r>
          </w:p>
        </w:tc>
        <w:tc>
          <w:tcPr/>
          <w:p>
            <w:pPr>
              <w:pStyle w:val="Compact"/>
              <w:jc w:val="left"/>
            </w:pPr>
            <w:r>
              <w:t xml:space="preserve">Compliance audit and GOST/ISO certification support for robotic systems in Russia Moscow</w:t>
            </w:r>
          </w:p>
        </w:tc>
        <w:tc>
          <w:tcPr/>
          <w:p>
            <w:pPr>
              <w:pStyle w:val="Compact"/>
              <w:jc w:val="left"/>
            </w:pPr>
            <w:r>
              <w:t xml:space="preserve">2 audits</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3.7</w:t>
            </w:r>
          </w:p>
        </w:tc>
        <w:tc>
          <w:tcPr/>
          <w:p>
            <w:pPr>
              <w:pStyle w:val="Compact"/>
              <w:jc w:val="left"/>
            </w:pPr>
            <w:r>
              <w:t xml:space="preserve">Knowledge transfer sessions and documentation handover to local Moscow engineering team</w:t>
            </w:r>
          </w:p>
        </w:tc>
        <w:tc>
          <w:tcPr/>
          <w:p>
            <w:pPr>
              <w:pStyle w:val="Compact"/>
              <w:jc w:val="left"/>
            </w:pPr>
            <w:r>
              <w:t xml:space="preserve">6 sessions</w:t>
            </w:r>
          </w:p>
        </w:tc>
        <w:tc>
          <w:tcPr/>
          <w:p>
            <w:pPr>
              <w:pStyle w:val="Compact"/>
              <w:jc w:val="left"/>
            </w:pPr>
            <w:r>
              <w:t xml:space="preserve">1,200</w:t>
            </w:r>
          </w:p>
        </w:tc>
        <w:tc>
          <w:tcPr/>
          <w:p>
            <w:pPr>
              <w:pStyle w:val="Compact"/>
              <w:jc w:val="left"/>
            </w:pPr>
            <w:r>
              <w:t xml:space="preserve">7,200</w:t>
            </w:r>
          </w:p>
        </w:tc>
      </w:tr>
      <w:tr>
        <w:tc>
          <w:tcPr/>
          <w:p>
            <w:pPr>
              <w:pStyle w:val="Compact"/>
              <w:jc w:val="left"/>
            </w:pPr>
            <w:r>
              <w:t xml:space="preserve">3.8</w:t>
            </w:r>
          </w:p>
        </w:tc>
        <w:tc>
          <w:tcPr/>
          <w:p>
            <w:pPr>
              <w:pStyle w:val="Compact"/>
              <w:jc w:val="left"/>
            </w:pPr>
            <w:r>
              <w:t xml:space="preserve">Contingency and project management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20,050</w:t>
            </w:r>
          </w:p>
        </w:tc>
      </w:tr>
      <w:tr>
        <w:tc>
          <w:tcPr>
            <w:gridSpan w:val="4"/>
          </w:tcPr>
          <w:p>
            <w:pPr>
              <w:pStyle w:val="Compact"/>
              <w:jc w:val="left"/>
            </w:pPr>
            <w:r>
              <w:t xml:space="preserve">TOTAL ESTIMATED COST (USD)</w:t>
            </w:r>
          </w:p>
        </w:tc>
        <w:tc>
          <w:tcPr/>
          <w:p>
            <w:pPr>
              <w:pStyle w:val="Compact"/>
              <w:jc w:val="left"/>
            </w:pPr>
            <w:r>
              <w:t xml:space="preserve">220,550</w:t>
            </w:r>
          </w:p>
        </w:tc>
      </w:tr>
    </w:tbl>
    <w:p>
      <w:pPr>
        <w:pStyle w:val="BodyText"/>
      </w:pPr>
      <w:r>
        <w:rPr>
          <w:iCs/>
          <w:i/>
        </w:rPr>
        <w:t xml:space="preserve">All figures are quoted in United States Dollars (USD). Conversion to Russian Rubles (RUB) shall be determined at the Central Bank of Russia exchange rate on the date of invoice issuance. Applicable Russian Value Added Tax (VAT) at 20% shall be added to the subtotal where required by local tax law.</w:t>
      </w:r>
    </w:p>
    <w:bookmarkEnd w:id="23"/>
    <w:bookmarkStart w:id="24" w:name="payment-terms-and-schedule"/>
    <w:p>
      <w:pPr>
        <w:pStyle w:val="Heading2"/>
      </w:pPr>
      <w:r>
        <w:t xml:space="preserve">4. Payment Terms and Schedule</w:t>
      </w:r>
    </w:p>
    <w:p>
      <w:pPr>
        <w:pStyle w:val="FirstParagraph"/>
      </w:pPr>
      <w:r>
        <w:t xml:space="preserve">Payment for the services outlined in this Quotation Estimate shall be structured as follows:</w:t>
      </w:r>
    </w:p>
    <w:p>
      <w:pPr>
        <w:numPr>
          <w:ilvl w:val="0"/>
          <w:numId w:val="1002"/>
        </w:numPr>
        <w:pStyle w:val="Compact"/>
      </w:pPr>
      <w:r>
        <w:rPr>
          <w:bCs/>
          <w:b/>
        </w:rPr>
        <w:t xml:space="preserve">Advance Payment (30%):</w:t>
      </w:r>
      <w:r>
        <w:t xml:space="preserve"> </w:t>
      </w:r>
      <w:r>
        <w:t xml:space="preserve">Due within 14 business days of contract execution, covering recruitment, visa processing, and initial onboarding in Russia Moscow.</w:t>
      </w:r>
    </w:p>
    <w:p>
      <w:pPr>
        <w:numPr>
          <w:ilvl w:val="0"/>
          <w:numId w:val="1002"/>
        </w:numPr>
        <w:pStyle w:val="Compact"/>
      </w:pPr>
      <w:r>
        <w:rPr>
          <w:bCs/>
          <w:b/>
        </w:rPr>
        <w:t xml:space="preserve">Monthly Installments (55%):</w:t>
      </w:r>
      <w:r>
        <w:t xml:space="preserve"> </w:t>
      </w:r>
      <w:r>
        <w:t xml:space="preserve">Distributed evenly across the 12-month engagement period, invoiced on the 1st of each month for the preceding month's services.</w:t>
      </w:r>
    </w:p>
    <w:p>
      <w:pPr>
        <w:numPr>
          <w:ilvl w:val="0"/>
          <w:numId w:val="1002"/>
        </w:numPr>
        <w:pStyle w:val="Compact"/>
      </w:pPr>
      <w:r>
        <w:rPr>
          <w:bCs/>
          <w:b/>
        </w:rPr>
        <w:t xml:space="preserve">Final Settlement (15%):</w:t>
      </w:r>
      <w:r>
        <w:t xml:space="preserve"> </w:t>
      </w:r>
      <w:r>
        <w:t xml:space="preserve">Due upon completion of the final knowledge transfer session and delivery of all project documentation, subject to client acceptance in Moscow.</w:t>
      </w:r>
    </w:p>
    <w:p>
      <w:pPr>
        <w:pStyle w:val="FirstParagraph"/>
      </w:pPr>
      <w:r>
        <w:t xml:space="preserve">All payments shall be made via international wire transfer to the designated account. Late payments shall accrue interest at a rate of 1.5% per month, in accordance with standard commercial practice in Russia Moscow.</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ninety (90) days from the date of issue. Beyond this period, all pricing is subject to revision based on prevailing market conditions in Russia Moscow.</w:t>
      </w:r>
    </w:p>
    <w:p>
      <w:pPr>
        <w:numPr>
          <w:ilvl w:val="0"/>
          <w:numId w:val="1003"/>
        </w:numPr>
        <w:pStyle w:val="Compact"/>
      </w:pPr>
      <w:r>
        <w:t xml:space="preserve">The Robotics Engineer shall be bound by a strict Non-Disclosure Agreement (NDA) covering all proprietary technologies, client data, and operational methodologies encountered during the engagement in Russia Moscow.</w:t>
      </w:r>
    </w:p>
    <w:p>
      <w:pPr>
        <w:numPr>
          <w:ilvl w:val="0"/>
          <w:numId w:val="1003"/>
        </w:numPr>
        <w:pStyle w:val="Compact"/>
      </w:pPr>
      <w:r>
        <w:t xml:space="preserve">Either party may terminate the engagement with thirty (30) days written notice. In the event of early termination, a pro-rata settlement of remaining fees shall be calculated and paid.</w:t>
      </w:r>
    </w:p>
    <w:p>
      <w:pPr>
        <w:numPr>
          <w:ilvl w:val="0"/>
          <w:numId w:val="1003"/>
        </w:numPr>
        <w:pStyle w:val="Compact"/>
      </w:pPr>
      <w:r>
        <w:t xml:space="preserve">All intellectual property developed specifically for the client during the Robotics Engineer engagement shall be the sole property of the client, as stipulated in the master service agreement.</w:t>
      </w:r>
    </w:p>
    <w:p>
      <w:pPr>
        <w:numPr>
          <w:ilvl w:val="0"/>
          <w:numId w:val="1003"/>
        </w:numPr>
        <w:pStyle w:val="Compact"/>
      </w:pPr>
      <w:r>
        <w:t xml:space="preserve">The Robotics Engineer shall comply with all applicable Russian federal and municipal laws, including but not limited to labor regulations, data protection statutes (Federal Law No. 152-FZ), and industrial safety codes in force in Russia Moscow.</w:t>
      </w:r>
    </w:p>
    <w:p>
      <w:pPr>
        <w:numPr>
          <w:ilvl w:val="0"/>
          <w:numId w:val="1003"/>
        </w:numPr>
        <w:pStyle w:val="Compact"/>
      </w:pPr>
      <w:r>
        <w:t xml:space="preserve">This Quotation Estimate does not constitute a binding contract. A formal Service Agreement must be executed by both parties prior to the commencement of any work.</w:t>
      </w:r>
    </w:p>
    <w:p>
      <w:pPr>
        <w:numPr>
          <w:ilvl w:val="0"/>
          <w:numId w:val="1003"/>
        </w:numPr>
        <w:pStyle w:val="Compact"/>
      </w:pPr>
      <w:r>
        <w:t xml:space="preserve">Force majeure events, including but not limited to natural disasters, government sanctions, or civil unrest affecting operations in Russia Moscow, shall be addressed per the force majeure clause of the master agreement.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Robotics Engineer services in Russia Moscow and confirms that the terms, conditions, and financial figures presented herein have been reviewed and are acceptable. This signature authorizes the service provider to proceed with the recruitment and deployment process as outlined in Section 3.</w:t>
      </w:r>
    </w:p>
    <w:bookmarkEnd w:id="26"/>
    <w:p>
      <w:pPr>
        <w:pStyle w:val="BodyText"/>
      </w:pPr>
      <w:r>
        <w:rPr>
          <w:bCs/>
          <w:b/>
        </w:rPr>
        <w:t xml:space="preserve">For the Service Provider:</w:t>
      </w:r>
      <w:r>
        <w:br/>
      </w:r>
      <w:r>
        <w:t xml:space="preserve">Name: ___________________________</w:t>
      </w:r>
      <w:r>
        <w:br/>
      </w:r>
      <w:r>
        <w:t xml:space="preserve">Title: Director of Engineering Services</w:t>
      </w:r>
      <w:r>
        <w:br/>
      </w:r>
      <w:r>
        <w:t xml:space="preserve">Signature: _______________________</w:t>
      </w:r>
      <w:r>
        <w:br/>
      </w:r>
      <w:r>
        <w:t xml:space="preserve">Date: ___________________________</w:t>
      </w:r>
    </w:p>
    <w:p>
      <w:pPr>
        <w:pStyle w:val="BodyText"/>
      </w:pPr>
      <w:r>
        <w:rPr>
          <w:bCs/>
          <w:b/>
        </w:rPr>
        <w:t xml:space="preserve">For the Client (Russia Moscow):</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r>
        <w:br/>
      </w:r>
      <w:r>
        <w:t xml:space="preserve">Company Stamp / Seal: ___________</w:t>
      </w:r>
    </w:p>
    <w:p>
      <w:pPr>
        <w:pStyle w:val="BodyText"/>
      </w:pPr>
      <w:r>
        <w:t xml:space="preserve">© 2025 Engineering Procurement Division. This Quotation Estimate document is confidential and intended solely for the named client. Unauthorized reproduction or distribution is prohibited. Document QE-RM-2025-0471 | Robotics Engineer Services |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Russia Moscow</dc:title>
  <dc:creator/>
  <dc:language>en</dc:language>
  <cp:keywords/>
  <dcterms:created xsi:type="dcterms:W3CDTF">2026-10-10T01:16:43Z</dcterms:created>
  <dcterms:modified xsi:type="dcterms:W3CDTF">2026-10-10T01:16:43Z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