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Xb6a424d5d3f124a92e73636013072b052cb5df9"/>
    <w:p>
      <w:pPr>
        <w:pStyle w:val="Heading1"/>
      </w:pPr>
      <w:r>
        <w:t xml:space="preserve">NorthStar Automation &amp; Robotics Solutions LLC</w:t>
      </w:r>
    </w:p>
    <w:p>
      <w:pPr>
        <w:pStyle w:val="FirstParagraph"/>
      </w:pPr>
      <w:r>
        <w:t xml:space="preserve">12 Nevsky Prospekt, Building 4, Suite 310, Saint Petersburg, 191025, Russian Federation</w:t>
      </w:r>
    </w:p>
    <w:p>
      <w:pPr>
        <w:pStyle w:val="BodyText"/>
      </w:pPr>
      <w:r>
        <w:t xml:space="preserve">Tel: +7 (812) 555-0142 | Email: estimates@northstar-robotics.ru</w:t>
      </w:r>
    </w:p>
    <w:p>
      <w:pPr>
        <w:pStyle w:val="BodyText"/>
      </w:pPr>
      <w:r>
        <w:t xml:space="preserve">INN: 7810456789 | OGRN: 1157847012345</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QTE-2025-RSE-0847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Project Location:</w:t>
      </w:r>
      <w:r>
        <w:t xml:space="preserve"> </w:t>
      </w:r>
      <w:r>
        <w:t xml:space="preserve">Russia Saint Petersburg</w:t>
      </w:r>
    </w:p>
    <w:p>
      <w:pPr>
        <w:pStyle w:val="BodyText"/>
      </w:pPr>
      <w:r>
        <w:rPr>
          <w:bCs/>
          <w:b/>
        </w:rPr>
        <w:t xml:space="preserve">Prepared By:</w:t>
      </w:r>
      <w:r>
        <w:t xml:space="preserve"> </w:t>
      </w:r>
      <w:r>
        <w:t xml:space="preserve">A. Volkov, Senior Estimator</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Polaris Industrial Manufacturing JSC</w:t>
      </w:r>
    </w:p>
    <w:p>
      <w:pPr>
        <w:pStyle w:val="BodyText"/>
      </w:pPr>
      <w:r>
        <w:rPr>
          <w:bCs/>
          <w:b/>
        </w:rPr>
        <w:t xml:space="preserve">Address:</w:t>
      </w:r>
      <w:r>
        <w:t xml:space="preserve"> </w:t>
      </w:r>
      <w:r>
        <w:t xml:space="preserve">45 Moskovskoye Shosse, Saint Petersburg, 197227, Russia</w:t>
      </w:r>
    </w:p>
    <w:p>
      <w:pPr>
        <w:pStyle w:val="BodyText"/>
      </w:pPr>
      <w:r>
        <w:rPr>
          <w:bCs/>
          <w:b/>
        </w:rPr>
        <w:t xml:space="preserve">Contact Person:</w:t>
      </w:r>
      <w:r>
        <w:t xml:space="preserve"> </w:t>
      </w:r>
      <w:r>
        <w:t xml:space="preserve">Dr. Elena Sokolova, CTO</w:t>
      </w:r>
    </w:p>
    <w:p>
      <w:pPr>
        <w:pStyle w:val="BodyText"/>
      </w:pPr>
      <w:r>
        <w:rPr>
          <w:bCs/>
          <w:b/>
        </w:rPr>
        <w:t xml:space="preserve">Email:</w:t>
      </w:r>
      <w:r>
        <w:t xml:space="preserve"> </w:t>
      </w:r>
      <w:r>
        <w:t xml:space="preserve">e.sokolova@polaris-ind.ru</w:t>
      </w:r>
    </w:p>
    <w:p>
      <w:pPr>
        <w:pStyle w:val="BodyText"/>
      </w:pPr>
      <w:r>
        <w:rPr>
          <w:bCs/>
          <w:b/>
        </w:rPr>
        <w:t xml:space="preserve">Phone:</w:t>
      </w:r>
      <w:r>
        <w:t xml:space="preserve"> </w:t>
      </w:r>
      <w:r>
        <w:t xml:space="preserve">+7 (812) 334-7789</w:t>
      </w:r>
    </w:p>
    <w:bookmarkEnd w:id="22"/>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NorthStar Automation &amp; Robotics Solutions LLC in response to the written request from Polaris Industrial Manufacturing JSC for the recruitment, deployment, and ongoing technical support of a senior</w:t>
      </w:r>
      <w:r>
        <w:t xml:space="preserve"> </w:t>
      </w:r>
      <w:r>
        <w:t xml:space="preserve">Robotics Engineer</w:t>
      </w:r>
      <w:r>
        <w:t xml:space="preserve"> </w:t>
      </w:r>
      <w:r>
        <w:t xml:space="preserve">to be stationed at the client's production facility in</w:t>
      </w:r>
      <w:r>
        <w:t xml:space="preserve"> </w:t>
      </w:r>
      <w:r>
        <w:t xml:space="preserve">Russia Saint Petersburg</w:t>
      </w:r>
      <w:r>
        <w:t xml:space="preserve">. The scope of this estimate encompasses the full lifecycle of the</w:t>
      </w:r>
      <w:r>
        <w:t xml:space="preserve"> </w:t>
      </w:r>
      <w:r>
        <w:t xml:space="preserve">Robotics Engineer</w:t>
      </w:r>
      <w:r>
        <w:t xml:space="preserve"> </w:t>
      </w:r>
      <w:r>
        <w:t xml:space="preserve">engagement, including initial onboarding, system design and integration, commissioning of automated production lines, and a twelve-month period of dedicated on-site technical support within the</w:t>
      </w:r>
      <w:r>
        <w:t xml:space="preserve"> </w:t>
      </w:r>
      <w:r>
        <w:t xml:space="preserve">Russia Saint Petersburg</w:t>
      </w:r>
      <w:r>
        <w:t xml:space="preserve"> </w:t>
      </w:r>
      <w:r>
        <w:t xml:space="preserve">metropolitan area.</w:t>
      </w:r>
    </w:p>
    <w:p>
      <w:pPr>
        <w:pStyle w:val="BodyText"/>
      </w:pPr>
      <w:r>
        <w:t xml:space="preserve">The</w:t>
      </w:r>
      <w:r>
        <w:t xml:space="preserve"> </w:t>
      </w:r>
      <w:r>
        <w:t xml:space="preserve">Robotics Engineer</w:t>
      </w:r>
      <w:r>
        <w:t xml:space="preserve"> </w:t>
      </w:r>
      <w:r>
        <w:t xml:space="preserve">will be responsible for the design, programming, and maintenance of industrial robotic systems, including six-axis articulated robots, collaborative robots (cobots), and automated guided vehicles (AGVs) currently operating across the client's three production halls in</w:t>
      </w:r>
      <w:r>
        <w:t xml:space="preserve"> </w:t>
      </w:r>
      <w:r>
        <w:t xml:space="preserve">Russia Saint Petersburg</w:t>
      </w:r>
      <w:r>
        <w:t xml:space="preserve">. All work will be conducted in compliance with Russian Federal Technical Regulations, GOST standards, and applicable occupational safety legislation of the Russian Federation.</w:t>
      </w:r>
    </w:p>
    <w:bookmarkEnd w:id="23"/>
    <w:bookmarkStart w:id="24"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1</w:t>
            </w:r>
          </w:p>
        </w:tc>
        <w:tc>
          <w:tcPr/>
          <w:p>
            <w:pPr>
              <w:pStyle w:val="Compact"/>
              <w:jc w:val="left"/>
            </w:pPr>
            <w:r>
              <w:t xml:space="preserve">Recruitment, vetting, and onboarding of a senior Robotics Engineer with minimum 8 years of experience in industrial automation</w:t>
            </w:r>
          </w:p>
        </w:tc>
        <w:tc>
          <w:tcPr/>
          <w:p>
            <w:pPr>
              <w:pStyle w:val="Compact"/>
              <w:jc w:val="left"/>
            </w:pPr>
            <w:r>
              <w:t xml:space="preserve">4 weeks</w:t>
            </w:r>
          </w:p>
        </w:tc>
        <w:tc>
          <w:tcPr/>
          <w:p>
            <w:pPr>
              <w:pStyle w:val="Compact"/>
              <w:jc w:val="left"/>
            </w:pPr>
            <w:r>
              <w:t xml:space="preserve">Lump sum</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2</w:t>
            </w:r>
          </w:p>
        </w:tc>
        <w:tc>
          <w:tcPr/>
          <w:p>
            <w:pPr>
              <w:pStyle w:val="Compact"/>
              <w:jc w:val="left"/>
            </w:pPr>
            <w:r>
              <w:t xml:space="preserve">Monthly salary, statutory social contributions, and professional insurance for the Robotics Engineer (Russia Saint Petersburg labor market rate)</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3</w:t>
            </w:r>
          </w:p>
        </w:tc>
        <w:tc>
          <w:tcPr/>
          <w:p>
            <w:pPr>
              <w:pStyle w:val="Compact"/>
              <w:jc w:val="left"/>
            </w:pPr>
            <w:r>
              <w:t xml:space="preserve">Design and integration of 4 new six-axis robotic welding cells for the automotive sub-assembly line</w:t>
            </w:r>
          </w:p>
        </w:tc>
        <w:tc>
          <w:tcPr/>
          <w:p>
            <w:pPr>
              <w:pStyle w:val="Compact"/>
              <w:jc w:val="left"/>
            </w:pPr>
            <w:r>
              <w:t xml:space="preserve">10 weeks</w:t>
            </w:r>
          </w:p>
        </w:tc>
        <w:tc>
          <w:tcPr/>
          <w:p>
            <w:pPr>
              <w:pStyle w:val="Compact"/>
              <w:jc w:val="left"/>
            </w:pPr>
            <w:r>
              <w:t xml:space="preserve">Cell</w:t>
            </w:r>
          </w:p>
        </w:tc>
        <w:tc>
          <w:tcPr/>
          <w:p>
            <w:pPr>
              <w:pStyle w:val="Compact"/>
              <w:jc w:val="left"/>
            </w:pPr>
            <w:r>
              <w:t xml:space="preserve">1,250,000</w:t>
            </w:r>
          </w:p>
        </w:tc>
        <w:tc>
          <w:tcPr/>
          <w:p>
            <w:pPr>
              <w:pStyle w:val="Compact"/>
              <w:jc w:val="left"/>
            </w:pPr>
            <w:r>
              <w:t xml:space="preserve">5,000,000</w:t>
            </w:r>
          </w:p>
        </w:tc>
      </w:tr>
      <w:tr>
        <w:tc>
          <w:tcPr/>
          <w:p>
            <w:pPr>
              <w:pStyle w:val="Compact"/>
              <w:jc w:val="left"/>
            </w:pPr>
            <w:r>
              <w:t xml:space="preserve">4</w:t>
            </w:r>
          </w:p>
        </w:tc>
        <w:tc>
          <w:tcPr/>
          <w:p>
            <w:pPr>
              <w:pStyle w:val="Compact"/>
              <w:jc w:val="left"/>
            </w:pPr>
            <w:r>
              <w:t xml:space="preserve">Programming, calibration, and commissioning of 6 collaborative robot workstations for precision electronics assembly</w:t>
            </w:r>
          </w:p>
        </w:tc>
        <w:tc>
          <w:tcPr/>
          <w:p>
            <w:pPr>
              <w:pStyle w:val="Compact"/>
              <w:jc w:val="left"/>
            </w:pPr>
            <w:r>
              <w:t xml:space="preserve">8 weeks</w:t>
            </w:r>
          </w:p>
        </w:tc>
        <w:tc>
          <w:tcPr/>
          <w:p>
            <w:pPr>
              <w:pStyle w:val="Compact"/>
              <w:jc w:val="left"/>
            </w:pPr>
            <w:r>
              <w:t xml:space="preserve">Workstation</w:t>
            </w:r>
          </w:p>
        </w:tc>
        <w:tc>
          <w:tcPr/>
          <w:p>
            <w:pPr>
              <w:pStyle w:val="Compact"/>
              <w:jc w:val="left"/>
            </w:pPr>
            <w:r>
              <w:t xml:space="preserve">680,000</w:t>
            </w:r>
          </w:p>
        </w:tc>
        <w:tc>
          <w:tcPr/>
          <w:p>
            <w:pPr>
              <w:pStyle w:val="Compact"/>
              <w:jc w:val="left"/>
            </w:pPr>
            <w:r>
              <w:t xml:space="preserve">4,080,000</w:t>
            </w:r>
          </w:p>
        </w:tc>
      </w:tr>
      <w:tr>
        <w:tc>
          <w:tcPr/>
          <w:p>
            <w:pPr>
              <w:pStyle w:val="Compact"/>
              <w:jc w:val="left"/>
            </w:pPr>
            <w:r>
              <w:t xml:space="preserve">5</w:t>
            </w:r>
          </w:p>
        </w:tc>
        <w:tc>
          <w:tcPr/>
          <w:p>
            <w:pPr>
              <w:pStyle w:val="Compact"/>
              <w:jc w:val="left"/>
            </w:pPr>
            <w:r>
              <w:t xml:space="preserve">Deployment and network integration of 12 AGVs for intra-facility material transport across the Russia Saint Petersburg site</w:t>
            </w:r>
          </w:p>
        </w:tc>
        <w:tc>
          <w:tcPr/>
          <w:p>
            <w:pPr>
              <w:pStyle w:val="Compact"/>
              <w:jc w:val="left"/>
            </w:pPr>
            <w:r>
              <w:t xml:space="preserve">6 weeks</w:t>
            </w:r>
          </w:p>
        </w:tc>
        <w:tc>
          <w:tcPr/>
          <w:p>
            <w:pPr>
              <w:pStyle w:val="Compact"/>
              <w:jc w:val="left"/>
            </w:pPr>
            <w:r>
              <w:t xml:space="preserve">Unit</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6</w:t>
            </w:r>
          </w:p>
        </w:tc>
        <w:tc>
          <w:tcPr/>
          <w:p>
            <w:pPr>
              <w:pStyle w:val="Compact"/>
              <w:jc w:val="left"/>
            </w:pPr>
            <w:r>
              <w:t xml:space="preserve">Development of a centralized SCADA/HMI monitoring dashboard for all robotic systems</w:t>
            </w:r>
          </w:p>
        </w:tc>
        <w:tc>
          <w:tcPr/>
          <w:p>
            <w:pPr>
              <w:pStyle w:val="Compact"/>
              <w:jc w:val="left"/>
            </w:pPr>
            <w:r>
              <w:t xml:space="preserve">5 weeks</w:t>
            </w:r>
          </w:p>
        </w:tc>
        <w:tc>
          <w:tcPr/>
          <w:p>
            <w:pPr>
              <w:pStyle w:val="Compact"/>
              <w:jc w:val="left"/>
            </w:pPr>
            <w:r>
              <w:t xml:space="preserve">Lump sum</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7</w:t>
            </w:r>
          </w:p>
        </w:tc>
        <w:tc>
          <w:tcPr/>
          <w:p>
            <w:pPr>
              <w:pStyle w:val="Compact"/>
              <w:jc w:val="left"/>
            </w:pPr>
            <w:r>
              <w:t xml:space="preserve">Preventive maintenance program and quarterly system health audits (on-site, Russia Saint Petersburg)</w:t>
            </w:r>
          </w:p>
        </w:tc>
        <w:tc>
          <w:tcPr/>
          <w:p>
            <w:pPr>
              <w:pStyle w:val="Compact"/>
              <w:jc w:val="left"/>
            </w:pPr>
            <w:r>
              <w:t xml:space="preserve">12 months</w:t>
            </w:r>
          </w:p>
        </w:tc>
        <w:tc>
          <w:tcPr/>
          <w:p>
            <w:pPr>
              <w:pStyle w:val="Compact"/>
              <w:jc w:val="left"/>
            </w:pPr>
            <w:r>
              <w:t xml:space="preserve">Quarter</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8</w:t>
            </w:r>
          </w:p>
        </w:tc>
        <w:tc>
          <w:tcPr/>
          <w:p>
            <w:pPr>
              <w:pStyle w:val="Compact"/>
              <w:jc w:val="left"/>
            </w:pPr>
            <w:r>
              <w:t xml:space="preserve">Training of 15 client personnel on Robotics Engineer workflows, safety protocols, and basic troubleshooting</w:t>
            </w:r>
          </w:p>
        </w:tc>
        <w:tc>
          <w:tcPr/>
          <w:p>
            <w:pPr>
              <w:pStyle w:val="Compact"/>
              <w:jc w:val="left"/>
            </w:pPr>
            <w:r>
              <w:t xml:space="preserve">3 weeks</w:t>
            </w:r>
          </w:p>
        </w:tc>
        <w:tc>
          <w:tcPr/>
          <w:p>
            <w:pPr>
              <w:pStyle w:val="Compact"/>
              <w:jc w:val="left"/>
            </w:pPr>
            <w:r>
              <w:t xml:space="preserve">Session</w:t>
            </w:r>
          </w:p>
        </w:tc>
        <w:tc>
          <w:tcPr/>
          <w:p>
            <w:pPr>
              <w:pStyle w:val="Compact"/>
              <w:jc w:val="left"/>
            </w:pPr>
            <w:r>
              <w:t xml:space="preserve">95,000</w:t>
            </w:r>
          </w:p>
        </w:tc>
        <w:tc>
          <w:tcPr/>
          <w:p>
            <w:pPr>
              <w:pStyle w:val="Compact"/>
              <w:jc w:val="left"/>
            </w:pPr>
            <w:r>
              <w:t xml:space="preserve">285,000</w:t>
            </w:r>
          </w:p>
        </w:tc>
      </w:tr>
      <w:tr>
        <w:tc>
          <w:tcPr/>
          <w:p>
            <w:pPr>
              <w:pStyle w:val="Compact"/>
              <w:jc w:val="left"/>
            </w:pPr>
            <w:r>
              <w:t xml:space="preserve">9</w:t>
            </w:r>
          </w:p>
        </w:tc>
        <w:tc>
          <w:tcPr/>
          <w:p>
            <w:pPr>
              <w:pStyle w:val="Compact"/>
              <w:jc w:val="left"/>
            </w:pPr>
            <w:r>
              <w:t xml:space="preserve">Travel, accommodation, and per diem for the Robotics Engineer during initial deployment phase in Russia Saint Petersburg</w:t>
            </w:r>
          </w:p>
        </w:tc>
        <w:tc>
          <w:tcPr/>
          <w:p>
            <w:pPr>
              <w:pStyle w:val="Compact"/>
              <w:jc w:val="left"/>
            </w:pPr>
            <w:r>
              <w:t xml:space="preserve">4 weeks</w:t>
            </w:r>
          </w:p>
        </w:tc>
        <w:tc>
          <w:tcPr/>
          <w:p>
            <w:pPr>
              <w:pStyle w:val="Compact"/>
              <w:jc w:val="left"/>
            </w:pPr>
            <w:r>
              <w:t xml:space="preserve">Week</w:t>
            </w:r>
          </w:p>
        </w:tc>
        <w:tc>
          <w:tcPr/>
          <w:p>
            <w:pPr>
              <w:pStyle w:val="Compact"/>
              <w:jc w:val="left"/>
            </w:pPr>
            <w:r>
              <w:t xml:space="preserve">72,000</w:t>
            </w:r>
          </w:p>
        </w:tc>
        <w:tc>
          <w:tcPr/>
          <w:p>
            <w:pPr>
              <w:pStyle w:val="Compact"/>
              <w:jc w:val="left"/>
            </w:pPr>
            <w:r>
              <w:t xml:space="preserve">288,000</w:t>
            </w:r>
          </w:p>
        </w:tc>
      </w:tr>
      <w:tr>
        <w:tc>
          <w:tcPr/>
          <w:p>
            <w:pPr>
              <w:pStyle w:val="Compact"/>
              <w:jc w:val="left"/>
            </w:pPr>
            <w:r>
              <w:t xml:space="preserve">10</w:t>
            </w:r>
          </w:p>
        </w:tc>
        <w:tc>
          <w:tcPr/>
          <w:p>
            <w:pPr>
              <w:pStyle w:val="Compact"/>
              <w:jc w:val="left"/>
            </w:pPr>
            <w:r>
              <w:t xml:space="preserve">Project management, documentation, regulatory compliance reporting, and final acceptance testing</w:t>
            </w:r>
          </w:p>
        </w:tc>
        <w:tc>
          <w:tcPr/>
          <w:p>
            <w:pPr>
              <w:pStyle w:val="Compact"/>
              <w:jc w:val="left"/>
            </w:pPr>
            <w:r>
              <w:t xml:space="preserve">12 months</w:t>
            </w:r>
          </w:p>
        </w:tc>
        <w:tc>
          <w:tcPr/>
          <w:p>
            <w:pPr>
              <w:pStyle w:val="Compact"/>
              <w:jc w:val="left"/>
            </w:pPr>
            <w:r>
              <w:t xml:space="preserve">Lump sum</w:t>
            </w:r>
          </w:p>
        </w:tc>
        <w:tc>
          <w:tcPr/>
          <w:p>
            <w:pPr>
              <w:pStyle w:val="Compact"/>
              <w:jc w:val="left"/>
            </w:pPr>
            <w:r>
              <w:t xml:space="preserve">1,100,000</w:t>
            </w:r>
          </w:p>
        </w:tc>
        <w:tc>
          <w:tcPr/>
          <w:p>
            <w:pPr>
              <w:pStyle w:val="Compact"/>
              <w:jc w:val="left"/>
            </w:pPr>
            <w:r>
              <w:t xml:space="preserve">1,100,000</w:t>
            </w:r>
          </w:p>
        </w:tc>
      </w:tr>
      <w:tr>
        <w:tc>
          <w:tcPr>
            <w:gridSpan w:val="5"/>
          </w:tcPr>
          <w:p>
            <w:pPr>
              <w:pStyle w:val="Compact"/>
              <w:jc w:val="left"/>
            </w:pPr>
            <w:r>
              <w:t xml:space="preserve">TOTAL ESTIMATED COST (VAT 20% included)</w:t>
            </w:r>
          </w:p>
        </w:tc>
        <w:tc>
          <w:tcPr/>
          <w:p>
            <w:pPr>
              <w:pStyle w:val="Compact"/>
              <w:jc w:val="left"/>
            </w:pPr>
            <w:r>
              <w:t xml:space="preserve">21,803,000</w:t>
            </w:r>
          </w:p>
        </w:tc>
      </w:tr>
    </w:tbl>
    <w:bookmarkEnd w:id="24"/>
    <w:bookmarkStart w:id="25" w:name="payment-schedule"/>
    <w:p>
      <w:pPr>
        <w:pStyle w:val="Heading2"/>
      </w:pPr>
      <w:r>
        <w:t xml:space="preserve">3. Payment Schedule</w:t>
      </w:r>
    </w:p>
    <w:p>
      <w:pPr>
        <w:pStyle w:val="FirstParagraph"/>
      </w:pPr>
      <w:r>
        <w:t xml:space="preserve">This</w:t>
      </w:r>
      <w:r>
        <w:t xml:space="preserve"> </w:t>
      </w:r>
      <w:r>
        <w:t xml:space="preserve">Quotation Estimate</w:t>
      </w:r>
      <w:r>
        <w:t xml:space="preserve"> </w:t>
      </w:r>
      <w:r>
        <w:t xml:space="preserve">proposes the following milestone-based payment structure to be settled in Russian Rubles (RUB) via bank transfer to the account of NorthStar Automation &amp; Robotics Solutions LLC:</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(RUB)</w:t>
            </w:r>
          </w:p>
        </w:tc>
        <w:tc>
          <w:tcPr/>
          <w:p>
            <w:pPr>
              <w:pStyle w:val="Compact"/>
              <w:jc w:val="left"/>
            </w:pPr>
            <w:r>
              <w:t xml:space="preserve">Trigger</w:t>
            </w:r>
          </w:p>
        </w:tc>
      </w:tr>
      <w:tr>
        <w:tc>
          <w:tcPr/>
          <w:p>
            <w:pPr>
              <w:pStyle w:val="Compact"/>
              <w:jc w:val="left"/>
            </w:pPr>
            <w:r>
              <w:t xml:space="preserve">Advance payment upon contract signing</w:t>
            </w:r>
          </w:p>
        </w:tc>
        <w:tc>
          <w:tcPr/>
          <w:p>
            <w:pPr>
              <w:pStyle w:val="Compact"/>
              <w:jc w:val="left"/>
            </w:pPr>
            <w:r>
              <w:t xml:space="preserve">20%</w:t>
            </w:r>
          </w:p>
        </w:tc>
        <w:tc>
          <w:tcPr/>
          <w:p>
            <w:pPr>
              <w:pStyle w:val="Compact"/>
              <w:jc w:val="left"/>
            </w:pPr>
            <w:r>
              <w:t xml:space="preserve">4,360,600</w:t>
            </w:r>
          </w:p>
        </w:tc>
        <w:tc>
          <w:tcPr/>
          <w:p>
            <w:pPr>
              <w:pStyle w:val="Compact"/>
              <w:jc w:val="left"/>
            </w:pPr>
            <w:r>
              <w:t xml:space="preserve">Execution of master services agreement</w:t>
            </w:r>
          </w:p>
        </w:tc>
      </w:tr>
      <w:tr>
        <w:tc>
          <w:tcPr/>
          <w:p>
            <w:pPr>
              <w:pStyle w:val="Compact"/>
              <w:jc w:val="left"/>
            </w:pPr>
            <w:r>
              <w:t xml:space="preserve">Robotics Engineer onboarding complete</w:t>
            </w:r>
          </w:p>
        </w:tc>
        <w:tc>
          <w:tcPr/>
          <w:p>
            <w:pPr>
              <w:pStyle w:val="Compact"/>
              <w:jc w:val="left"/>
            </w:pPr>
            <w:r>
              <w:t xml:space="preserve">10%</w:t>
            </w:r>
          </w:p>
        </w:tc>
        <w:tc>
          <w:tcPr/>
          <w:p>
            <w:pPr>
              <w:pStyle w:val="Compact"/>
              <w:jc w:val="left"/>
            </w:pPr>
            <w:r>
              <w:t xml:space="preserve">2,180,300</w:t>
            </w:r>
          </w:p>
        </w:tc>
        <w:tc>
          <w:tcPr/>
          <w:p>
            <w:pPr>
              <w:pStyle w:val="Compact"/>
              <w:jc w:val="left"/>
            </w:pPr>
            <w:r>
              <w:t xml:space="preserve">First day of active deployment in Russia Saint Petersburg</w:t>
            </w:r>
          </w:p>
        </w:tc>
      </w:tr>
      <w:tr>
        <w:tc>
          <w:tcPr/>
          <w:p>
            <w:pPr>
              <w:pStyle w:val="Compact"/>
              <w:jc w:val="left"/>
            </w:pPr>
            <w:r>
              <w:t xml:space="preserve">Welding cells and cobot stations commissioned</w:t>
            </w:r>
          </w:p>
        </w:tc>
        <w:tc>
          <w:tcPr/>
          <w:p>
            <w:pPr>
              <w:pStyle w:val="Compact"/>
              <w:jc w:val="left"/>
            </w:pPr>
            <w:r>
              <w:t xml:space="preserve">30%</w:t>
            </w:r>
          </w:p>
        </w:tc>
        <w:tc>
          <w:tcPr/>
          <w:p>
            <w:pPr>
              <w:pStyle w:val="Compact"/>
              <w:jc w:val="left"/>
            </w:pPr>
            <w:r>
              <w:t xml:space="preserve">6,540,900</w:t>
            </w:r>
          </w:p>
        </w:tc>
        <w:tc>
          <w:tcPr/>
          <w:p>
            <w:pPr>
              <w:pStyle w:val="Compact"/>
              <w:jc w:val="left"/>
            </w:pPr>
            <w:r>
              <w:t xml:space="preserve">Sign-off on commissioning reports</w:t>
            </w:r>
          </w:p>
        </w:tc>
      </w:tr>
      <w:tr>
        <w:tc>
          <w:tcPr/>
          <w:p>
            <w:pPr>
              <w:pStyle w:val="Compact"/>
              <w:jc w:val="left"/>
            </w:pPr>
            <w:r>
              <w:t xml:space="preserve">AGV fleet and SCADA system operational</w:t>
            </w:r>
          </w:p>
        </w:tc>
        <w:tc>
          <w:tcPr/>
          <w:p>
            <w:pPr>
              <w:pStyle w:val="Compact"/>
              <w:jc w:val="left"/>
            </w:pPr>
            <w:r>
              <w:t xml:space="preserve">25%</w:t>
            </w:r>
          </w:p>
        </w:tc>
        <w:tc>
          <w:tcPr/>
          <w:p>
            <w:pPr>
              <w:pStyle w:val="Compact"/>
              <w:jc w:val="left"/>
            </w:pPr>
            <w:r>
              <w:t xml:space="preserve">5,450,750</w:t>
            </w:r>
          </w:p>
        </w:tc>
        <w:tc>
          <w:tcPr/>
          <w:p>
            <w:pPr>
              <w:pStyle w:val="Compact"/>
              <w:jc w:val="left"/>
            </w:pPr>
            <w:r>
              <w:t xml:space="preserve">Successful 72-hour continuous operation test</w:t>
            </w:r>
          </w:p>
        </w:tc>
      </w:tr>
      <w:tr>
        <w:tc>
          <w:tcPr/>
          <w:p>
            <w:pPr>
              <w:pStyle w:val="Compact"/>
              <w:jc w:val="left"/>
            </w:pPr>
            <w:r>
              <w:t xml:space="preserve">Final acceptance and handover</w:t>
            </w:r>
          </w:p>
        </w:tc>
        <w:tc>
          <w:tcPr/>
          <w:p>
            <w:pPr>
              <w:pStyle w:val="Compact"/>
              <w:jc w:val="left"/>
            </w:pPr>
            <w:r>
              <w:t xml:space="preserve">15%</w:t>
            </w:r>
          </w:p>
        </w:tc>
        <w:tc>
          <w:tcPr/>
          <w:p>
            <w:pPr>
              <w:pStyle w:val="Compact"/>
              <w:jc w:val="left"/>
            </w:pPr>
            <w:r>
              <w:t xml:space="preserve">3,270,450</w:t>
            </w:r>
          </w:p>
        </w:tc>
        <w:tc>
          <w:tcPr/>
          <w:p>
            <w:pPr>
              <w:pStyle w:val="Compact"/>
              <w:jc w:val="left"/>
            </w:pPr>
            <w:r>
              <w:t xml:space="preserve">Client acceptance certificate issued</w:t>
            </w:r>
          </w:p>
        </w:tc>
      </w:tr>
    </w:tbl>
    <w:bookmarkEnd w:id="25"/>
    <w:bookmarkStart w:id="26"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14 July 2025, all pricing is subject to revision based on current market conditions in</w:t>
      </w:r>
      <w:r>
        <w:t xml:space="preserve"> </w:t>
      </w:r>
      <w:r>
        <w:t xml:space="preserve">Russia Saint Petersburg</w:t>
      </w:r>
      <w:r>
        <w:t xml:space="preserve">.</w:t>
      </w:r>
    </w:p>
    <w:p>
      <w:pPr>
        <w:numPr>
          <w:ilvl w:val="0"/>
          <w:numId w:val="1001"/>
        </w:numPr>
        <w:pStyle w:val="Compact"/>
      </w:pPr>
      <w:r>
        <w:t xml:space="preserve">The</w:t>
      </w:r>
      <w:r>
        <w:t xml:space="preserve"> </w:t>
      </w:r>
      <w:r>
        <w:t xml:space="preserve">Robotics Engineer</w:t>
      </w:r>
      <w:r>
        <w:t xml:space="preserve"> </w:t>
      </w:r>
      <w:r>
        <w:t xml:space="preserve">assigned to this project shall be a full-time employee of NorthStar Automation &amp; Robotics Solutions LLC and shall not be simultaneously engaged in any other client project without prior written consent from Polaris Industrial Manufacturing JSC.</w:t>
      </w:r>
    </w:p>
    <w:p>
      <w:pPr>
        <w:numPr>
          <w:ilvl w:val="0"/>
          <w:numId w:val="1001"/>
        </w:numPr>
        <w:pStyle w:val="Compact"/>
      </w:pPr>
      <w:r>
        <w:t xml:space="preserve">All intellectual property, including but not limited to robot programs, PLC logic, SCADA configurations, and process documentation developed under this engagement, shall become the exclusive property of the client upon full payment.</w:t>
      </w:r>
    </w:p>
    <w:p>
      <w:pPr>
        <w:numPr>
          <w:ilvl w:val="0"/>
          <w:numId w:val="1001"/>
        </w:numPr>
        <w:pStyle w:val="Compact"/>
      </w:pPr>
      <w:r>
        <w:t xml:space="preserve">NorthStar Automation &amp; Robotics Solutions LLC shall maintain comprehensive professional liability insurance with a minimum coverage of 10,000,000 RUB for the duration of the project in</w:t>
      </w:r>
      <w:r>
        <w:t xml:space="preserve"> </w:t>
      </w:r>
      <w:r>
        <w:t xml:space="preserve">Russia Saint Petersburg</w:t>
      </w:r>
      <w:r>
        <w:t xml:space="preserve">.</w:t>
      </w:r>
    </w:p>
    <w:p>
      <w:pPr>
        <w:numPr>
          <w:ilvl w:val="0"/>
          <w:numId w:val="1001"/>
        </w:numPr>
        <w:pStyle w:val="Compact"/>
      </w:pPr>
      <w:r>
        <w:t xml:space="preserve">Any change in scope exceeding 10% of the total estimated value shall require a formal change order and a revised</w:t>
      </w:r>
      <w:r>
        <w:t xml:space="preserve"> </w:t>
      </w:r>
      <w:r>
        <w:t xml:space="preserve">Quotation Estimate</w:t>
      </w:r>
      <w:r>
        <w:t xml:space="preserve"> </w:t>
      </w:r>
      <w:r>
        <w:t xml:space="preserve">signed by both parties before additional work commences.</w:t>
      </w:r>
    </w:p>
    <w:p>
      <w:pPr>
        <w:numPr>
          <w:ilvl w:val="0"/>
          <w:numId w:val="1001"/>
        </w:numPr>
        <w:pStyle w:val="Compact"/>
      </w:pPr>
      <w:r>
        <w:t xml:space="preserve">The</w:t>
      </w:r>
      <w:r>
        <w:t xml:space="preserve"> </w:t>
      </w:r>
      <w:r>
        <w:t xml:space="preserve">Robotics Engineer</w:t>
      </w:r>
      <w:r>
        <w:t xml:space="preserve"> </w:t>
      </w:r>
      <w:r>
        <w:t xml:space="preserve">shall comply with all applicable Russian labor laws, including but not limited to the Labor Code of the Russian Federation, and shall be subject to the client's on-site safety regulations at the</w:t>
      </w:r>
      <w:r>
        <w:t xml:space="preserve"> </w:t>
      </w:r>
      <w:r>
        <w:t xml:space="preserve">Russia Saint Petersburg</w:t>
      </w:r>
      <w:r>
        <w:t xml:space="preserve"> </w:t>
      </w:r>
      <w:r>
        <w:t xml:space="preserve">facility.</w:t>
      </w:r>
    </w:p>
    <w:p>
      <w:pPr>
        <w:numPr>
          <w:ilvl w:val="0"/>
          <w:numId w:val="1001"/>
        </w:numPr>
        <w:pStyle w:val="Compact"/>
      </w:pPr>
      <w:r>
        <w:t xml:space="preserve">Warranty period for all installed robotic systems and integrated software is twelve (12) months from the date of final acceptance, covering defects in design, programming, and workmanship.</w:t>
      </w:r>
    </w:p>
    <w:p>
      <w:pPr>
        <w:numPr>
          <w:ilvl w:val="0"/>
          <w:numId w:val="1001"/>
        </w:numPr>
        <w:pStyle w:val="Compact"/>
      </w:pPr>
      <w:r>
        <w:t xml:space="preserve">Disputes arising from this</w:t>
      </w:r>
      <w:r>
        <w:t xml:space="preserve"> </w:t>
      </w:r>
      <w:r>
        <w:t xml:space="preserve">Quotation Estimate</w:t>
      </w:r>
      <w:r>
        <w:t xml:space="preserve"> </w:t>
      </w:r>
      <w:r>
        <w:t xml:space="preserve">or the resulting contract shall be resolved through arbitration at the Arbitration Court of Saint Petersburg and Leningrad Oblast, Russian Federation.</w:t>
      </w:r>
    </w:p>
    <w:p>
      <w:pPr>
        <w:numPr>
          <w:ilvl w:val="0"/>
          <w:numId w:val="1001"/>
        </w:numPr>
        <w:pStyle w:val="Compact"/>
      </w:pPr>
      <w:r>
        <w:t xml:space="preserve">All communications, technical documentation, and reports shall be prepared in Russian, with English translations provided for reference where requested by the client.</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that this</w:t>
      </w:r>
      <w:r>
        <w:t xml:space="preserve"> </w:t>
      </w:r>
      <w:r>
        <w:t xml:space="preserve">Quotation Estimate</w:t>
      </w:r>
      <w:r>
        <w:t xml:space="preserve"> </w:t>
      </w:r>
      <w:r>
        <w:t xml:space="preserve">accurately reflects the agreed-upon scope, pricing, and terms for the engagement of a</w:t>
      </w:r>
      <w:r>
        <w:t xml:space="preserve"> </w:t>
      </w:r>
      <w:r>
        <w:t xml:space="preserve">Robotics Engineer</w:t>
      </w:r>
      <w:r>
        <w:t xml:space="preserve"> </w:t>
      </w:r>
      <w:r>
        <w:t xml:space="preserve">and associated automation services at the client's facility in</w:t>
      </w:r>
      <w:r>
        <w:t xml:space="preserve"> </w:t>
      </w:r>
      <w:r>
        <w:t xml:space="preserve">Russia Saint Petersburg</w:t>
      </w:r>
      <w:r>
        <w:t xml:space="preserve">. This document, once countersigned, shall serve as the basis for the execution of a formal Master Services Agreement.</w:t>
      </w:r>
    </w:p>
    <w:p>
      <w:pPr>
        <w:pStyle w:val="BodyText"/>
      </w:pPr>
      <w:r>
        <w:rPr>
          <w:bCs/>
          <w:b/>
        </w:rPr>
        <w:t xml:space="preserve">For NorthStar Automation &amp; Robotics Solutions LLC</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Polaris Industrial Manufacturing JSC</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NorthStar Automation &amp; Robotics Solutions LLC | INN 7810456789 | OGRN 1157847012345</w:t>
      </w:r>
    </w:p>
    <w:p>
      <w:pPr>
        <w:pStyle w:val="BodyText"/>
      </w:pPr>
      <w:r>
        <w:t xml:space="preserve">Bank: Sberbank, Branch Saint Petersburg | BIC: 044030643 | Account: 40702810400000012345</w:t>
      </w:r>
    </w:p>
    <w:p>
      <w:pPr>
        <w:pStyle w:val="BodyText"/>
      </w:pPr>
      <w:r>
        <w:t xml:space="preserve">This Quotation Estimate was generated on 14 June 2025. Document reference: QTE-2025-RSE-0847.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Robotics Engineer - Russia Saint Petersburg</dc:title>
  <dc:creator/>
  <dc:language>en</dc:language>
  <cp:keywords/>
  <dcterms:created xsi:type="dcterms:W3CDTF">2026-10-10T04:24:35Z</dcterms:created>
  <dcterms:modified xsi:type="dcterms:W3CDTF">2026-10-10T04:24:35Z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