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Robotics Engineering Services | United States Chicago</w:t>
      </w:r>
    </w:p>
    <w:p>
      <w:pPr>
        <w:pStyle w:val="BodyText"/>
      </w:pPr>
      <w:r>
        <w:t xml:space="preserve">Advanced Automation &amp; Intelligent Systems Division</w:t>
      </w:r>
    </w:p>
    <w:bookmarkEnd w:id="20"/>
    <w:p>
      <w:pPr>
        <w:pStyle w:val="BodyText"/>
      </w:pPr>
      <w:r>
        <w:rPr>
          <w:bCs/>
          <w:b/>
        </w:rPr>
        <w:t xml:space="preserve">Quotation No.:</w:t>
      </w:r>
      <w:r>
        <w:t xml:space="preserve"> </w:t>
      </w:r>
      <w:r>
        <w:t xml:space="preserve">QTE-CHI-2025-04871</w:t>
      </w:r>
      <w:r>
        <w:t xml:space="preserve"> </w:t>
      </w:r>
      <w:r>
        <w:rPr>
          <w:bCs/>
          <w:b/>
        </w:rPr>
        <w:t xml:space="preserve">Issue Date:</w:t>
      </w:r>
      <w:r>
        <w:t xml:space="preserve"> </w:t>
      </w:r>
      <w:r>
        <w:t xml:space="preserve">June 12, 2025</w:t>
      </w:r>
      <w:r>
        <w:t xml:space="preserve"> </w:t>
      </w:r>
      <w:r>
        <w:rPr>
          <w:bCs/>
          <w:b/>
        </w:rPr>
        <w:t xml:space="preserve">Valid Until:</w:t>
      </w:r>
      <w:r>
        <w:t xml:space="preserve"> </w:t>
      </w:r>
      <w:r>
        <w:t xml:space="preserve">July 12, 2025</w:t>
      </w:r>
    </w:p>
    <w:p>
      <w:pPr>
        <w:pStyle w:val="BodyText"/>
      </w:pPr>
      <w:r>
        <w:rPr>
          <w:bCs/>
          <w:b/>
        </w:rPr>
        <w:t xml:space="preserve">Prepared By:</w:t>
      </w:r>
      <w:r>
        <w:t xml:space="preserve"> </w:t>
      </w:r>
      <w:r>
        <w:t xml:space="preserve">Dr. Marcus T. Whitfield, P.E.</w:t>
      </w:r>
      <w:r>
        <w:t xml:space="preserve"> </w:t>
      </w:r>
      <w:r>
        <w:rPr>
          <w:bCs/>
          <w:b/>
        </w:rPr>
        <w:t xml:space="preserve">Position:</w:t>
      </w:r>
      <w:r>
        <w:t xml:space="preserve"> </w:t>
      </w:r>
      <w:r>
        <w:t xml:space="preserve">Senior Robotics Engineer</w:t>
      </w:r>
      <w:r>
        <w:t xml:space="preserve"> </w:t>
      </w:r>
      <w:r>
        <w:rPr>
          <w:bCs/>
          <w:b/>
        </w:rPr>
        <w:t xml:space="preserve">License No.:</w:t>
      </w:r>
      <w:r>
        <w:t xml:space="preserve"> </w:t>
      </w:r>
      <w:r>
        <w:t xml:space="preserve">IL-PE-2019-44871</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Midwest Industrial Automation Group, LLC</w:t>
            </w:r>
          </w:p>
        </w:tc>
      </w:tr>
      <w:tr>
        <w:tc>
          <w:tcPr/>
          <w:p>
            <w:pPr>
              <w:pStyle w:val="Compact"/>
              <w:jc w:val="left"/>
            </w:pPr>
            <w:r>
              <w:rPr>
                <w:bCs/>
                <w:b/>
              </w:rPr>
              <w:t xml:space="preserve">Address:</w:t>
            </w:r>
          </w:p>
        </w:tc>
        <w:tc>
          <w:tcPr/>
          <w:p>
            <w:pPr>
              <w:pStyle w:val="Compact"/>
              <w:jc w:val="left"/>
            </w:pPr>
            <w:r>
              <w:t xml:space="preserve">233 S Wacker Drive, Suite 4200, Chicago, IL 60606, United States</w:t>
            </w:r>
          </w:p>
        </w:tc>
      </w:tr>
      <w:tr>
        <w:tc>
          <w:tcPr/>
          <w:p>
            <w:pPr>
              <w:pStyle w:val="Compact"/>
              <w:jc w:val="left"/>
            </w:pPr>
            <w:r>
              <w:rPr>
                <w:bCs/>
                <w:b/>
              </w:rPr>
              <w:t xml:space="preserve">Project Contact:</w:t>
            </w:r>
          </w:p>
        </w:tc>
        <w:tc>
          <w:tcPr/>
          <w:p>
            <w:pPr>
              <w:pStyle w:val="Compact"/>
              <w:jc w:val="left"/>
            </w:pPr>
            <w:r>
              <w:t xml:space="preserve">Ms. Elena Vasquez, Director of Operations</w:t>
            </w:r>
          </w:p>
        </w:tc>
      </w:tr>
      <w:tr>
        <w:tc>
          <w:tcPr/>
          <w:p>
            <w:pPr>
              <w:pStyle w:val="Compact"/>
              <w:jc w:val="left"/>
            </w:pPr>
            <w:r>
              <w:rPr>
                <w:bCs/>
                <w:b/>
              </w:rPr>
              <w:t xml:space="preserve">Email:</w:t>
            </w:r>
          </w:p>
        </w:tc>
        <w:tc>
          <w:tcPr/>
          <w:p>
            <w:pPr>
              <w:pStyle w:val="Compact"/>
              <w:jc w:val="left"/>
            </w:pPr>
            <w:r>
              <w:t xml:space="preserve">e.vasquez@midwestindustrial.com</w:t>
            </w:r>
          </w:p>
        </w:tc>
      </w:tr>
      <w:tr>
        <w:tc>
          <w:tcPr/>
          <w:p>
            <w:pPr>
              <w:pStyle w:val="Compact"/>
              <w:jc w:val="left"/>
            </w:pPr>
            <w:r>
              <w:rPr>
                <w:bCs/>
                <w:b/>
              </w:rPr>
              <w:t xml:space="preserve">Phone:</w:t>
            </w:r>
          </w:p>
        </w:tc>
        <w:tc>
          <w:tcPr/>
          <w:p>
            <w:pPr>
              <w:pStyle w:val="Compact"/>
              <w:jc w:val="left"/>
            </w:pPr>
            <w:r>
              <w:t xml:space="preserve">(312) 555-0194</w:t>
            </w:r>
          </w:p>
        </w:tc>
      </w:tr>
    </w:tbl>
    <w:p>
      <w:pPr>
        <w:pStyle w:val="BodyText"/>
      </w:pPr>
      <w:r>
        <w:t xml:space="preserve">2. Project Overview</w:t>
      </w:r>
    </w:p>
    <w:p>
      <w:pPr>
        <w:pStyle w:val="BodyText"/>
      </w:pPr>
      <w:r>
        <w:t xml:space="preserve">This</w:t>
      </w:r>
      <w:r>
        <w:t xml:space="preserve"> </w:t>
      </w:r>
      <w:r>
        <w:t xml:space="preserve">Quotation Estimate</w:t>
      </w:r>
      <w:r>
        <w:t xml:space="preserve"> </w:t>
      </w:r>
      <w:r>
        <w:t xml:space="preserve">is issued in response to the formal request for professional services submitted by Midwest Industrial Automation Group, LLC. The scope of work involves the design, development, integration, and commissioning of an advanced robotic assembly line for a manufacturing facility located in the</w:t>
      </w:r>
      <w:r>
        <w:t xml:space="preserve"> </w:t>
      </w:r>
      <w:r>
        <w:t xml:space="preserve">United States Chicago</w:t>
      </w:r>
      <w:r>
        <w:t xml:space="preserve"> </w:t>
      </w:r>
      <w:r>
        <w:t xml:space="preserve">metropolitan area. The</w:t>
      </w:r>
      <w:r>
        <w:t xml:space="preserve"> </w:t>
      </w:r>
      <w:r>
        <w:t xml:space="preserve">Robotics Engineer</w:t>
      </w:r>
      <w:r>
        <w:t xml:space="preserve"> </w:t>
      </w:r>
      <w:r>
        <w:t xml:space="preserve">assigned to this project will oversee all technical aspects from initial system architecture through final acceptance testing, ensuring full compliance with OSHA regulations, ANSI/RIA R15.06 safety standards, and all applicable Illinois state industrial codes governing automated manufacturing equipment.</w:t>
      </w:r>
    </w:p>
    <w:p>
      <w:pPr>
        <w:pStyle w:val="BodyText"/>
      </w:pPr>
      <w:r>
        <w:t xml:space="preserve">3. Scope of Work</w:t>
      </w:r>
    </w:p>
    <w:p>
      <w:pPr>
        <w:pStyle w:val="BodyText"/>
      </w:pPr>
      <w:r>
        <w:t xml:space="preserve">The</w:t>
      </w:r>
      <w:r>
        <w:t xml:space="preserve"> </w:t>
      </w:r>
      <w:r>
        <w:t xml:space="preserve">Robotics Engineer</w:t>
      </w:r>
      <w:r>
        <w:t xml:space="preserve"> </w:t>
      </w:r>
      <w:r>
        <w:t xml:space="preserve">will deliver the following services as part of this engagement in the</w:t>
      </w:r>
      <w:r>
        <w:t xml:space="preserve"> </w:t>
      </w:r>
      <w:r>
        <w:t xml:space="preserve">United States Chicago</w:t>
      </w:r>
      <w:r>
        <w:t xml:space="preserve"> </w:t>
      </w:r>
      <w:r>
        <w:t xml:space="preserve">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Site Assessment &amp; Feasibility Study – On-site evaluation at the client's Chicago, IL facility to determine spatial constraints, power requirements, and integration points for the robotic system.</w:t>
            </w:r>
          </w:p>
        </w:tc>
        <w:tc>
          <w:tcPr/>
          <w:p>
            <w:pPr>
              <w:pStyle w:val="Compact"/>
              <w:jc w:val="left"/>
            </w:pPr>
            <w:r>
              <w:t xml:space="preserve">5 days</w:t>
            </w:r>
          </w:p>
        </w:tc>
        <w:tc>
          <w:tcPr/>
          <w:p>
            <w:pPr>
              <w:pStyle w:val="Compact"/>
              <w:jc w:val="left"/>
            </w:pPr>
            <w:r>
              <w:t xml:space="preserve">$285/hr</w:t>
            </w:r>
          </w:p>
        </w:tc>
        <w:tc>
          <w:tcPr/>
          <w:p>
            <w:pPr>
              <w:pStyle w:val="Compact"/>
              <w:jc w:val="left"/>
            </w:pPr>
            <w:r>
              <w:t xml:space="preserve">$4,560.00</w:t>
            </w:r>
          </w:p>
        </w:tc>
      </w:tr>
      <w:tr>
        <w:tc>
          <w:tcPr/>
          <w:p>
            <w:pPr>
              <w:pStyle w:val="Compact"/>
              <w:jc w:val="left"/>
            </w:pPr>
            <w:r>
              <w:t xml:space="preserve">3.2</w:t>
            </w:r>
          </w:p>
        </w:tc>
        <w:tc>
          <w:tcPr/>
          <w:p>
            <w:pPr>
              <w:pStyle w:val="Compact"/>
              <w:jc w:val="left"/>
            </w:pPr>
            <w:r>
              <w:t xml:space="preserve">System Architecture &amp; Design – Development of complete mechanical, electrical, and control system schematics for a 6-axis industrial robotic cell including end-effectors, safety fencing, and PLC integration.</w:t>
            </w:r>
          </w:p>
        </w:tc>
        <w:tc>
          <w:tcPr/>
          <w:p>
            <w:pPr>
              <w:pStyle w:val="Compact"/>
              <w:jc w:val="left"/>
            </w:pPr>
            <w:r>
              <w:t xml:space="preserve">20 days</w:t>
            </w:r>
          </w:p>
        </w:tc>
        <w:tc>
          <w:tcPr/>
          <w:p>
            <w:pPr>
              <w:pStyle w:val="Compact"/>
              <w:jc w:val="left"/>
            </w:pPr>
            <w:r>
              <w:t xml:space="preserve">$285/hr</w:t>
            </w:r>
          </w:p>
        </w:tc>
        <w:tc>
          <w:tcPr/>
          <w:p>
            <w:pPr>
              <w:pStyle w:val="Compact"/>
              <w:jc w:val="left"/>
            </w:pPr>
            <w:r>
              <w:t xml:space="preserve">$18,240.00</w:t>
            </w:r>
          </w:p>
        </w:tc>
      </w:tr>
      <w:tr>
        <w:tc>
          <w:tcPr/>
          <w:p>
            <w:pPr>
              <w:pStyle w:val="Compact"/>
              <w:jc w:val="left"/>
            </w:pPr>
            <w:r>
              <w:t xml:space="preserve">3.3</w:t>
            </w:r>
          </w:p>
        </w:tc>
        <w:tc>
          <w:tcPr/>
          <w:p>
            <w:pPr>
              <w:pStyle w:val="Compact"/>
              <w:jc w:val="left"/>
            </w:pPr>
            <w:r>
              <w:t xml:space="preserve">Robot Programming &amp; Motion Control – Custom trajectory programming, kinematic calibration, and motion control algorithm development for the robotic manipulators.</w:t>
            </w:r>
          </w:p>
        </w:tc>
        <w:tc>
          <w:tcPr/>
          <w:p>
            <w:pPr>
              <w:pStyle w:val="Compact"/>
              <w:jc w:val="left"/>
            </w:pPr>
            <w:r>
              <w:t xml:space="preserve">15 days</w:t>
            </w:r>
          </w:p>
        </w:tc>
        <w:tc>
          <w:tcPr/>
          <w:p>
            <w:pPr>
              <w:pStyle w:val="Compact"/>
              <w:jc w:val="left"/>
            </w:pPr>
            <w:r>
              <w:t xml:space="preserve">$285/hr</w:t>
            </w:r>
          </w:p>
        </w:tc>
        <w:tc>
          <w:tcPr/>
          <w:p>
            <w:pPr>
              <w:pStyle w:val="Compact"/>
              <w:jc w:val="left"/>
            </w:pPr>
            <w:r>
              <w:t xml:space="preserve">$13,680.00</w:t>
            </w:r>
          </w:p>
        </w:tc>
      </w:tr>
      <w:tr>
        <w:tc>
          <w:tcPr/>
          <w:p>
            <w:pPr>
              <w:pStyle w:val="Compact"/>
              <w:jc w:val="left"/>
            </w:pPr>
            <w:r>
              <w:t xml:space="preserve">3.4</w:t>
            </w:r>
          </w:p>
        </w:tc>
        <w:tc>
          <w:tcPr/>
          <w:p>
            <w:pPr>
              <w:pStyle w:val="Compact"/>
              <w:jc w:val="left"/>
            </w:pPr>
            <w:r>
              <w:t xml:space="preserve">Integration &amp; Commissioning – Physical installation, network integration with the client's existing SCADA/ERP systems, and full commissioning of the robotic assembly line.</w:t>
            </w:r>
          </w:p>
        </w:tc>
        <w:tc>
          <w:tcPr/>
          <w:p>
            <w:pPr>
              <w:pStyle w:val="Compact"/>
              <w:jc w:val="left"/>
            </w:pPr>
            <w:r>
              <w:t xml:space="preserve">12 days</w:t>
            </w:r>
          </w:p>
        </w:tc>
        <w:tc>
          <w:tcPr/>
          <w:p>
            <w:pPr>
              <w:pStyle w:val="Compact"/>
              <w:jc w:val="left"/>
            </w:pPr>
            <w:r>
              <w:t xml:space="preserve">$285/hr</w:t>
            </w:r>
          </w:p>
        </w:tc>
        <w:tc>
          <w:tcPr/>
          <w:p>
            <w:pPr>
              <w:pStyle w:val="Compact"/>
              <w:jc w:val="left"/>
            </w:pPr>
            <w:r>
              <w:t xml:space="preserve">$10,944.00</w:t>
            </w:r>
          </w:p>
        </w:tc>
      </w:tr>
      <w:tr>
        <w:tc>
          <w:tcPr/>
          <w:p>
            <w:pPr>
              <w:pStyle w:val="Compact"/>
              <w:jc w:val="left"/>
            </w:pPr>
            <w:r>
              <w:t xml:space="preserve">3.5</w:t>
            </w:r>
          </w:p>
        </w:tc>
        <w:tc>
          <w:tcPr/>
          <w:p>
            <w:pPr>
              <w:pStyle w:val="Compact"/>
              <w:jc w:val="left"/>
            </w:pPr>
            <w:r>
              <w:t xml:space="preserve">Safety Compliance &amp; Documentation – Preparation of all safety documentation, risk assessments per ISO 12100, and regulatory filings required for operation in the United States Chicago jurisdiction.</w:t>
            </w:r>
          </w:p>
        </w:tc>
        <w:tc>
          <w:tcPr/>
          <w:p>
            <w:pPr>
              <w:pStyle w:val="Compact"/>
              <w:jc w:val="left"/>
            </w:pPr>
            <w:r>
              <w:t xml:space="preserve">8 days</w:t>
            </w:r>
          </w:p>
        </w:tc>
        <w:tc>
          <w:tcPr/>
          <w:p>
            <w:pPr>
              <w:pStyle w:val="Compact"/>
              <w:jc w:val="left"/>
            </w:pPr>
            <w:r>
              <w:t xml:space="preserve">$285/hr</w:t>
            </w:r>
          </w:p>
        </w:tc>
        <w:tc>
          <w:tcPr/>
          <w:p>
            <w:pPr>
              <w:pStyle w:val="Compact"/>
              <w:jc w:val="left"/>
            </w:pPr>
            <w:r>
              <w:t xml:space="preserve">$6,960.00</w:t>
            </w:r>
          </w:p>
        </w:tc>
      </w:tr>
      <w:tr>
        <w:tc>
          <w:tcPr/>
          <w:p>
            <w:pPr>
              <w:pStyle w:val="Compact"/>
              <w:jc w:val="left"/>
            </w:pPr>
            <w:r>
              <w:t xml:space="preserve">3.6</w:t>
            </w:r>
          </w:p>
        </w:tc>
        <w:tc>
          <w:tcPr/>
          <w:p>
            <w:pPr>
              <w:pStyle w:val="Compact"/>
              <w:jc w:val="left"/>
            </w:pPr>
            <w:r>
              <w:t xml:space="preserve">Operator Training &amp; Handover – On-site training sessions for client personnel (up to 12 operators) covering operation, basic troubleshooting, and preventive maintenance of the robotic system.</w:t>
            </w:r>
          </w:p>
        </w:tc>
        <w:tc>
          <w:tcPr/>
          <w:p>
            <w:pPr>
              <w:pStyle w:val="Compact"/>
              <w:jc w:val="left"/>
            </w:pPr>
            <w:r>
              <w:t xml:space="preserve">5 days</w:t>
            </w:r>
          </w:p>
        </w:tc>
        <w:tc>
          <w:tcPr/>
          <w:p>
            <w:pPr>
              <w:pStyle w:val="Compact"/>
              <w:jc w:val="left"/>
            </w:pPr>
            <w:r>
              <w:t xml:space="preserve">$285/hr</w:t>
            </w:r>
          </w:p>
        </w:tc>
        <w:tc>
          <w:tcPr/>
          <w:p>
            <w:pPr>
              <w:pStyle w:val="Compact"/>
              <w:jc w:val="left"/>
            </w:pPr>
            <w:r>
              <w:t xml:space="preserve">$4,560.00</w:t>
            </w:r>
          </w:p>
        </w:tc>
      </w:tr>
      <w:tr>
        <w:tc>
          <w:tcPr/>
          <w:p>
            <w:pPr>
              <w:pStyle w:val="Compact"/>
              <w:jc w:val="left"/>
            </w:pPr>
            <w:r>
              <w:t xml:space="preserve">3.7</w:t>
            </w:r>
          </w:p>
        </w:tc>
        <w:tc>
          <w:tcPr/>
          <w:p>
            <w:pPr>
              <w:pStyle w:val="Compact"/>
              <w:jc w:val="left"/>
            </w:pPr>
            <w:r>
              <w:t xml:space="preserve">Warranty Support &amp; Technical Assistance – 90-day post-commissioning support period for defect resolution and performance optimization.</w:t>
            </w:r>
          </w:p>
        </w:tc>
        <w:tc>
          <w:tcPr/>
          <w:p>
            <w:pPr>
              <w:pStyle w:val="Compact"/>
              <w:jc w:val="left"/>
            </w:pPr>
            <w:r>
              <w:t xml:space="preserve">90 days</w:t>
            </w:r>
          </w:p>
        </w:tc>
        <w:tc>
          <w:tcPr/>
          <w:p>
            <w:pPr>
              <w:pStyle w:val="Compact"/>
              <w:jc w:val="left"/>
            </w:pPr>
            <w:r>
              <w:t xml:space="preserve">Flat Fee</w:t>
            </w:r>
          </w:p>
        </w:tc>
        <w:tc>
          <w:tcPr/>
          <w:p>
            <w:pPr>
              <w:pStyle w:val="Compact"/>
              <w:jc w:val="left"/>
            </w:pPr>
            <w:r>
              <w:t xml:space="preserve">$7,500.00</w:t>
            </w:r>
          </w:p>
        </w:tc>
      </w:tr>
      <w:tr>
        <w:tc>
          <w:tcPr>
            <w:gridSpan w:val="4"/>
          </w:tcPr>
          <w:p>
            <w:pPr>
              <w:pStyle w:val="Compact"/>
              <w:jc w:val="left"/>
            </w:pPr>
            <w:r>
              <w:rPr>
                <w:bCs/>
                <w:b/>
              </w:rPr>
              <w:t xml:space="preserve">Subtotal (Professional Services)</w:t>
            </w:r>
          </w:p>
        </w:tc>
        <w:tc>
          <w:tcPr/>
          <w:p>
            <w:pPr>
              <w:pStyle w:val="Compact"/>
              <w:jc w:val="left"/>
            </w:pPr>
            <w:r>
              <w:rPr>
                <w:bCs/>
                <w:b/>
              </w:rPr>
              <w:t xml:space="preserve">$66,444.00</w:t>
            </w:r>
          </w:p>
        </w:tc>
      </w:tr>
      <w:tr>
        <w:tc>
          <w:tcPr>
            <w:gridSpan w:val="4"/>
          </w:tcPr>
          <w:p>
            <w:pPr>
              <w:pStyle w:val="Compact"/>
              <w:jc w:val="left"/>
            </w:pPr>
            <w:r>
              <w:t xml:space="preserve">Applicable Illinois State Sales Tax (8.75%)</w:t>
            </w:r>
          </w:p>
        </w:tc>
        <w:tc>
          <w:tcPr/>
          <w:p>
            <w:pPr>
              <w:pStyle w:val="Compact"/>
              <w:jc w:val="left"/>
            </w:pPr>
            <w:r>
              <w:t xml:space="preserve">$5,813.85</w:t>
            </w:r>
          </w:p>
        </w:tc>
      </w:tr>
      <w:tr>
        <w:tc>
          <w:tcPr>
            <w:gridSpan w:val="4"/>
          </w:tcPr>
          <w:p>
            <w:pPr>
              <w:pStyle w:val="Compact"/>
              <w:jc w:val="left"/>
            </w:pPr>
            <w:r>
              <w:rPr>
                <w:bCs/>
                <w:b/>
              </w:rPr>
              <w:t xml:space="preserve">TOTAL ESTIMATED COST</w:t>
            </w:r>
          </w:p>
        </w:tc>
        <w:tc>
          <w:tcPr/>
          <w:p>
            <w:pPr>
              <w:pStyle w:val="Compact"/>
              <w:jc w:val="left"/>
            </w:pPr>
            <w:r>
              <w:rPr>
                <w:bCs/>
                <w:b/>
              </w:rPr>
              <w:t xml:space="preserve">$72,257.85</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Mobilization</w:t>
            </w:r>
          </w:p>
        </w:tc>
        <w:tc>
          <w:tcPr/>
          <w:p>
            <w:pPr>
              <w:pStyle w:val="Compact"/>
              <w:jc w:val="left"/>
            </w:pPr>
            <w:r>
              <w:t xml:space="preserve">25%</w:t>
            </w:r>
          </w:p>
        </w:tc>
        <w:tc>
          <w:tcPr/>
          <w:p>
            <w:pPr>
              <w:pStyle w:val="Compact"/>
              <w:jc w:val="left"/>
            </w:pPr>
            <w:r>
              <w:t xml:space="preserve">$18,064.46</w:t>
            </w:r>
          </w:p>
        </w:tc>
        <w:tc>
          <w:tcPr/>
          <w:p>
            <w:pPr>
              <w:pStyle w:val="Compact"/>
              <w:jc w:val="left"/>
            </w:pPr>
            <w:r>
              <w:t xml:space="preserve">Upon signing</w:t>
            </w:r>
          </w:p>
        </w:tc>
      </w:tr>
      <w:tr>
        <w:tc>
          <w:tcPr/>
          <w:p>
            <w:pPr>
              <w:pStyle w:val="Compact"/>
              <w:jc w:val="left"/>
            </w:pPr>
            <w:r>
              <w:t xml:space="preserve">Design &amp; Programming Completion</w:t>
            </w:r>
          </w:p>
        </w:tc>
        <w:tc>
          <w:tcPr/>
          <w:p>
            <w:pPr>
              <w:pStyle w:val="Compact"/>
              <w:jc w:val="left"/>
            </w:pPr>
            <w:r>
              <w:t xml:space="preserve">35%</w:t>
            </w:r>
          </w:p>
        </w:tc>
        <w:tc>
          <w:tcPr/>
          <w:p>
            <w:pPr>
              <w:pStyle w:val="Compact"/>
              <w:jc w:val="left"/>
            </w:pPr>
            <w:r>
              <w:t xml:space="preserve">$25,290.25</w:t>
            </w:r>
          </w:p>
        </w:tc>
        <w:tc>
          <w:tcPr/>
          <w:p>
            <w:pPr>
              <w:pStyle w:val="Compact"/>
              <w:jc w:val="left"/>
            </w:pPr>
            <w:r>
              <w:t xml:space="preserve">Day 40</w:t>
            </w:r>
          </w:p>
        </w:tc>
      </w:tr>
      <w:tr>
        <w:tc>
          <w:tcPr/>
          <w:p>
            <w:pPr>
              <w:pStyle w:val="Compact"/>
              <w:jc w:val="left"/>
            </w:pPr>
            <w:r>
              <w:t xml:space="preserve">Commissioning &amp; Acceptance</w:t>
            </w:r>
          </w:p>
        </w:tc>
        <w:tc>
          <w:tcPr/>
          <w:p>
            <w:pPr>
              <w:pStyle w:val="Compact"/>
              <w:jc w:val="left"/>
            </w:pPr>
            <w:r>
              <w:t xml:space="preserve">30%</w:t>
            </w:r>
          </w:p>
        </w:tc>
        <w:tc>
          <w:tcPr/>
          <w:p>
            <w:pPr>
              <w:pStyle w:val="Compact"/>
              <w:jc w:val="left"/>
            </w:pPr>
            <w:r>
              <w:t xml:space="preserve">$21,677.36</w:t>
            </w:r>
          </w:p>
        </w:tc>
        <w:tc>
          <w:tcPr/>
          <w:p>
            <w:pPr>
              <w:pStyle w:val="Compact"/>
              <w:jc w:val="left"/>
            </w:pPr>
            <w:r>
              <w:t xml:space="preserve">Day 60</w:t>
            </w:r>
          </w:p>
        </w:tc>
      </w:tr>
      <w:tr>
        <w:tc>
          <w:tcPr/>
          <w:p>
            <w:pPr>
              <w:pStyle w:val="Compact"/>
              <w:jc w:val="left"/>
            </w:pPr>
            <w:r>
              <w:t xml:space="preserve">Warranty Period Expiration</w:t>
            </w:r>
          </w:p>
        </w:tc>
        <w:tc>
          <w:tcPr/>
          <w:p>
            <w:pPr>
              <w:pStyle w:val="Compact"/>
              <w:jc w:val="left"/>
            </w:pPr>
            <w:r>
              <w:t xml:space="preserve">10%</w:t>
            </w:r>
          </w:p>
        </w:tc>
        <w:tc>
          <w:tcPr/>
          <w:p>
            <w:pPr>
              <w:pStyle w:val="Compact"/>
              <w:jc w:val="left"/>
            </w:pPr>
            <w:r>
              <w:t xml:space="preserve">$7,225.78</w:t>
            </w:r>
          </w:p>
        </w:tc>
        <w:tc>
          <w:tcPr/>
          <w:p>
            <w:pPr>
              <w:pStyle w:val="Compact"/>
              <w:jc w:val="left"/>
            </w:pPr>
            <w:r>
              <w:t xml:space="preserve">Day 150</w:t>
            </w:r>
          </w:p>
        </w:tc>
      </w:tr>
    </w:tbl>
    <w:p>
      <w:pPr>
        <w:pStyle w:val="BodyText"/>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issue date. After expiration, all rates and availability must be reconfirmed in writing.</w:t>
      </w:r>
    </w:p>
    <w:p>
      <w:pPr>
        <w:numPr>
          <w:ilvl w:val="0"/>
          <w:numId w:val="1001"/>
        </w:numPr>
        <w:pStyle w:val="Compact"/>
      </w:pPr>
      <w:r>
        <w:t xml:space="preserve">All services will be performed by a licensed</w:t>
      </w:r>
      <w:r>
        <w:t xml:space="preserve"> </w:t>
      </w:r>
      <w:r>
        <w:t xml:space="preserve">Robotics Engineer</w:t>
      </w:r>
      <w:r>
        <w:t xml:space="preserve"> </w:t>
      </w:r>
      <w:r>
        <w:t xml:space="preserve">holding a valid Illinois Professional Engineer (P.E.) license, registered with the Illinois Department of Financial and Professional Regulation.</w:t>
      </w:r>
    </w:p>
    <w:p>
      <w:pPr>
        <w:numPr>
          <w:ilvl w:val="0"/>
          <w:numId w:val="1001"/>
        </w:numPr>
        <w:pStyle w:val="Compact"/>
      </w:pPr>
      <w:r>
        <w:t xml:space="preserve">The</w:t>
      </w:r>
      <w:r>
        <w:t xml:space="preserve"> </w:t>
      </w:r>
      <w:r>
        <w:t xml:space="preserve">Robotics Engineer</w:t>
      </w:r>
      <w:r>
        <w:t xml:space="preserve"> </w:t>
      </w:r>
      <w:r>
        <w:t xml:space="preserve">shall maintain professional liability insurance with a minimum coverage of $2,000,000 per occurrence throughout the duration of this engagement in the</w:t>
      </w:r>
      <w:r>
        <w:t xml:space="preserve"> </w:t>
      </w:r>
      <w:r>
        <w:t xml:space="preserve">United States Chicago</w:t>
      </w:r>
      <w:r>
        <w:t xml:space="preserve"> </w:t>
      </w:r>
      <w:r>
        <w:t xml:space="preserve">area.</w:t>
      </w:r>
    </w:p>
    <w:p>
      <w:pPr>
        <w:numPr>
          <w:ilvl w:val="0"/>
          <w:numId w:val="1001"/>
        </w:numPr>
        <w:pStyle w:val="Compact"/>
      </w:pPr>
      <w:r>
        <w:t xml:space="preserve">Any changes to the scope of work beyond 10% of the original estimate will require a formal change order signed by both parties before additional work commences.</w:t>
      </w:r>
    </w:p>
    <w:p>
      <w:pPr>
        <w:numPr>
          <w:ilvl w:val="0"/>
          <w:numId w:val="1001"/>
        </w:numPr>
        <w:pStyle w:val="Compact"/>
      </w:pPr>
      <w:r>
        <w:t xml:space="preserve">All intellectual property, including proprietary control algorithms and system designs developed under this</w:t>
      </w:r>
      <w:r>
        <w:t xml:space="preserve"> </w:t>
      </w:r>
      <w:r>
        <w:t xml:space="preserve">Quotation Estimate</w:t>
      </w:r>
      <w:r>
        <w:t xml:space="preserve">, shall transfer to the client upon full payment.</w:t>
      </w:r>
    </w:p>
    <w:p>
      <w:pPr>
        <w:numPr>
          <w:ilvl w:val="0"/>
          <w:numId w:val="1001"/>
        </w:numPr>
        <w:pStyle w:val="Compact"/>
      </w:pPr>
      <w:r>
        <w:t xml:space="preserve">Work will be performed in accordance with all federal, state, and local regulations applicable to industrial robotics in the</w:t>
      </w:r>
      <w:r>
        <w:t xml:space="preserve"> </w:t>
      </w:r>
      <w:r>
        <w:t xml:space="preserve">United States Chicago</w:t>
      </w:r>
      <w:r>
        <w:t xml:space="preserve"> </w:t>
      </w:r>
      <w:r>
        <w:t xml:space="preserve">metropolitan area, including but not limited to OSHA 29 CFR 1910 and ANSI/RIA R15.06-2012.</w:t>
      </w:r>
    </w:p>
    <w:p>
      <w:pPr>
        <w:numPr>
          <w:ilvl w:val="0"/>
          <w:numId w:val="1001"/>
        </w:numPr>
        <w:pStyle w:val="Compact"/>
      </w:pPr>
      <w:r>
        <w:t xml:space="preserve">Disputes arising from this agreement shall be resolved through binding arbitration in Cook County, Illinois, in accordance with the rules of the American Arbitration Association.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executed in writing by authorized representatives of both parties.</w:t>
      </w:r>
    </w:p>
    <w:p>
      <w:pPr>
        <w:pStyle w:val="FirstParagraph"/>
      </w:pPr>
      <w:r>
        <w:t xml:space="preserve">6. Acceptance &amp; Authorization</w:t>
      </w:r>
    </w:p>
    <w:bookmarkStart w:id="21" w:name="prepared-by-service-provider"/>
    <w:p>
      <w:pPr>
        <w:pStyle w:val="Heading4"/>
      </w:pPr>
      <w:r>
        <w:t xml:space="preserve">Prepared By (Service Provider)</w:t>
      </w:r>
    </w:p>
    <w:p>
      <w:pPr>
        <w:pStyle w:val="FirstParagraph"/>
      </w:pPr>
      <w:r>
        <w:t xml:space="preserve">Dr. Marcus T. Whitfield, P.E.</w:t>
      </w:r>
      <w:r>
        <w:br/>
      </w:r>
      <w:r>
        <w:t xml:space="preserve">Senior Robotics Engineer</w:t>
      </w:r>
      <w:r>
        <w:br/>
      </w:r>
      <w:r>
        <w:t xml:space="preserve">Advanced Automation &amp; Intelligent Systems Division</w:t>
      </w:r>
    </w:p>
    <w:p>
      <w:pPr>
        <w:pStyle w:val="BodyText"/>
      </w:pPr>
      <w:r>
        <w:t xml:space="preserve">Signature &amp; Date</w:t>
      </w:r>
    </w:p>
    <w:bookmarkEnd w:id="21"/>
    <w:bookmarkStart w:id="22" w:name="accepted-by-client"/>
    <w:p>
      <w:pPr>
        <w:pStyle w:val="Heading4"/>
      </w:pPr>
      <w:r>
        <w:t xml:space="preserve">Accepted By (Client)</w:t>
      </w:r>
    </w:p>
    <w:p>
      <w:pPr>
        <w:pStyle w:val="FirstParagraph"/>
      </w:pPr>
      <w:r>
        <w:t xml:space="preserve">Ms. Elena Vasquez</w:t>
      </w:r>
      <w:r>
        <w:br/>
      </w:r>
      <w:r>
        <w:t xml:space="preserve">Director of Operations</w:t>
      </w:r>
      <w:r>
        <w:br/>
      </w:r>
      <w:r>
        <w:t xml:space="preserve">Midwest Industrial Automation Group, LLC</w:t>
      </w:r>
    </w:p>
    <w:p>
      <w:pPr>
        <w:pStyle w:val="BodyText"/>
      </w:pPr>
      <w:r>
        <w:t xml:space="preserve">Signature &amp; Date</w:t>
      </w:r>
    </w:p>
    <w:bookmarkEnd w:id="22"/>
    <w:p>
      <w:pPr>
        <w:pStyle w:val="BodyText"/>
      </w:pPr>
      <w:r>
        <w:t xml:space="preserve">This Quotation Estimate document (Ref: QTE-CHI-2025-04871) was prepared for professional robotics engineering services to be rendered in the United States Chicago area. All figures are in United States Dollars (USD). This document is confidential and intended solely for the named recipient. © 2025 Advanced Automation &amp; Intelligent Systems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United States Chicago</dc:title>
  <dc:creator/>
  <dc:language>en</dc:language>
  <cp:keywords/>
  <dcterms:created xsi:type="dcterms:W3CDTF">2026-10-10T03:32:01Z</dcterms:created>
  <dcterms:modified xsi:type="dcterms:W3CDTF">2026-10-10T03:32:01Z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