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Robotics</w:t>
      </w:r>
      <w:r>
        <w:t xml:space="preserve"> </w:t>
      </w:r>
      <w:r>
        <w:t xml:space="preserve">Engineer</w:t>
      </w:r>
      <w:r>
        <w:t xml:space="preserve"> </w:t>
      </w:r>
      <w:r>
        <w:t xml:space="preserve">Services</w:t>
      </w:r>
      <w:r>
        <w:t xml:space="preserve"> </w:t>
      </w:r>
      <w:r>
        <w:t xml:space="preserve">-</w:t>
      </w:r>
      <w:r>
        <w:t xml:space="preserve"> </w:t>
      </w:r>
      <w:r>
        <w:t xml:space="preserve">Uzbekistan</w:t>
      </w:r>
      <w:r>
        <w:t xml:space="preserve"> </w:t>
      </w:r>
      <w:r>
        <w:t xml:space="preserve">Tashkent</w:t>
      </w:r>
    </w:p>
    <w:bookmarkStart w:id="20" w:name="quotation-estimate"/>
    <w:p>
      <w:pPr>
        <w:pStyle w:val="Heading1"/>
      </w:pPr>
      <w:r>
        <w:t xml:space="preserve">QUOTATION ESTIMATE</w:t>
      </w:r>
    </w:p>
    <w:p>
      <w:pPr>
        <w:pStyle w:val="FirstParagraph"/>
      </w:pPr>
      <w:r>
        <w:t xml:space="preserve">Professional Robotics Engineer Services</w:t>
      </w:r>
    </w:p>
    <w:p>
      <w:pPr>
        <w:pStyle w:val="BodyText"/>
      </w:pPr>
      <w:r>
        <w:t xml:space="preserve">Uzbekistan Tashkent | Central Asia Region</w:t>
      </w:r>
    </w:p>
    <w:bookmarkEnd w:id="20"/>
    <w:p>
      <w:pPr>
        <w:pStyle w:val="BodyText"/>
      </w:pPr>
      <w:r>
        <w:rPr>
          <w:bCs/>
          <w:b/>
        </w:rPr>
        <w:t xml:space="preserve">Quotation No.:</w:t>
      </w:r>
      <w:r>
        <w:t xml:space="preserve"> </w:t>
      </w:r>
      <w:r>
        <w:t xml:space="preserve">QE-2025-TSK-0472</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For:</w:t>
      </w:r>
      <w:r>
        <w:t xml:space="preserve"> </w:t>
      </w:r>
      <w:r>
        <w:t xml:space="preserve">Industrial Automation Division, Tashkent, Uzbekistan</w:t>
      </w:r>
    </w:p>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document is formally prepared to outline the comprehensive scope of services, associated costs, and delivery timelines for the engagement of a qualified</w:t>
      </w:r>
      <w:r>
        <w:t xml:space="preserve"> </w:t>
      </w:r>
      <w:r>
        <w:t xml:space="preserve">Robotics Engineer</w:t>
      </w:r>
      <w:r>
        <w:t xml:space="preserve"> </w:t>
      </w:r>
      <w:r>
        <w:t xml:space="preserve">to support industrial automation, robotic system design, and operational maintenance projects located in</w:t>
      </w:r>
      <w:r>
        <w:t xml:space="preserve"> </w:t>
      </w:r>
      <w:r>
        <w:t xml:space="preserve">Uzbekistan Tashkent</w:t>
      </w:r>
      <w:r>
        <w:t xml:space="preserve">. This estimate has been developed in accordance with the client's requirements for advanced robotics integration within manufacturing and logistics facilities situated in the Tashkent metropolitan area of Uzbekistan.</w:t>
      </w:r>
    </w:p>
    <w:p>
      <w:pPr>
        <w:pStyle w:val="BodyText"/>
      </w:pPr>
      <w:r>
        <w:t xml:space="preserve">The</w:t>
      </w:r>
      <w:r>
        <w:t xml:space="preserve"> </w:t>
      </w:r>
      <w:r>
        <w:t xml:space="preserve">Robotics Engineer</w:t>
      </w:r>
      <w:r>
        <w:t xml:space="preserve"> </w:t>
      </w:r>
      <w:r>
        <w:t xml:space="preserve">services described herein encompass the full lifecycle of robotic system deployment, including initial site assessment, system architecture design, programming, installation, commissioning, operator training, and ongoing technical support. All work will be executed in compliance with Uzbek national standards, international ISO 10218 robotic safety regulations, and the specific operational requirements of the client's facilities in</w:t>
      </w:r>
      <w:r>
        <w:t xml:space="preserve"> </w:t>
      </w:r>
      <w:r>
        <w:t xml:space="preserve">Uzbekistan Tashkent</w:t>
      </w:r>
      <w:r>
        <w:t xml:space="preserve">.</w:t>
      </w:r>
    </w:p>
    <w:bookmarkEnd w:id="21"/>
    <w:bookmarkStart w:id="22" w:name="Xcaaf4e7675281bbf9ae059d42f67e0d6d3033f8"/>
    <w:p>
      <w:pPr>
        <w:pStyle w:val="Heading2"/>
      </w:pPr>
      <w:r>
        <w:t xml:space="preserve">2. Scope of Services – Robotics Engineer Engagement</w:t>
      </w:r>
    </w:p>
    <w:p>
      <w:pPr>
        <w:pStyle w:val="FirstParagraph"/>
      </w:pPr>
      <w:r>
        <w:t xml:space="preserve">The following services constitute the complete scope of the</w:t>
      </w:r>
      <w:r>
        <w:t xml:space="preserve"> </w:t>
      </w:r>
      <w:r>
        <w:t xml:space="preserve">Robotics Engineer</w:t>
      </w:r>
      <w:r>
        <w:t xml:space="preserve"> </w:t>
      </w:r>
      <w:r>
        <w:t xml:space="preserve">engagement as detailed in this</w:t>
      </w:r>
      <w:r>
        <w:t xml:space="preserve"> </w:t>
      </w:r>
      <w:r>
        <w:t xml:space="preserve">Quotation Estimate</w:t>
      </w:r>
      <w:r>
        <w:t xml:space="preserve">:</w:t>
      </w:r>
    </w:p>
    <w:p>
      <w:pPr>
        <w:numPr>
          <w:ilvl w:val="0"/>
          <w:numId w:val="1001"/>
        </w:numPr>
        <w:pStyle w:val="Compact"/>
      </w:pPr>
      <w:r>
        <w:rPr>
          <w:bCs/>
          <w:b/>
        </w:rPr>
        <w:t xml:space="preserve">Site Survey and Feasibility Analysis:</w:t>
      </w:r>
      <w:r>
        <w:t xml:space="preserve"> </w:t>
      </w:r>
      <w:r>
        <w:t xml:space="preserve">Comprehensive on-site assessment of the client's production floor in Tashkent, Uzbekistan, to evaluate spatial constraints, power infrastructure, network connectivity, and existing machinery compatibility for robotic integration.</w:t>
      </w:r>
    </w:p>
    <w:p>
      <w:pPr>
        <w:numPr>
          <w:ilvl w:val="0"/>
          <w:numId w:val="1001"/>
        </w:numPr>
        <w:pStyle w:val="Compact"/>
      </w:pPr>
      <w:r>
        <w:rPr>
          <w:bCs/>
          <w:b/>
        </w:rPr>
        <w:t xml:space="preserve">System Design and Engineering:</w:t>
      </w:r>
      <w:r>
        <w:t xml:space="preserve"> </w:t>
      </w:r>
      <w:r>
        <w:t xml:space="preserve">Development of detailed robotic cell layouts, end-effector specifications, safety fencing plans, and control system architectures tailored to the specific manufacturing processes in</w:t>
      </w:r>
      <w:r>
        <w:t xml:space="preserve"> </w:t>
      </w:r>
      <w:r>
        <w:t xml:space="preserve">Uzbekistan Tashkent</w:t>
      </w:r>
      <w:r>
        <w:t xml:space="preserve">.</w:t>
      </w:r>
    </w:p>
    <w:p>
      <w:pPr>
        <w:numPr>
          <w:ilvl w:val="0"/>
          <w:numId w:val="1001"/>
        </w:numPr>
        <w:pStyle w:val="Compact"/>
      </w:pPr>
      <w:r>
        <w:rPr>
          <w:bCs/>
          <w:b/>
        </w:rPr>
        <w:t xml:space="preserve">Programming and Configuration:</w:t>
      </w:r>
      <w:r>
        <w:t xml:space="preserve"> </w:t>
      </w:r>
      <w:r>
        <w:t xml:space="preserve">Full programming of industrial robotic arms (6-axis and SCARA configurations), PLC integration, HMI development, and communication protocol setup (PROFINET, EtherCAT, Modbus TCP) for the deployed systems.</w:t>
      </w:r>
    </w:p>
    <w:p>
      <w:pPr>
        <w:numPr>
          <w:ilvl w:val="0"/>
          <w:numId w:val="1001"/>
        </w:numPr>
        <w:pStyle w:val="Compact"/>
      </w:pPr>
      <w:r>
        <w:rPr>
          <w:bCs/>
          <w:b/>
        </w:rPr>
        <w:t xml:space="preserve">Installation and Commissioning:</w:t>
      </w:r>
      <w:r>
        <w:t xml:space="preserve"> </w:t>
      </w:r>
      <w:r>
        <w:t xml:space="preserve">Physical installation of robotic hardware, safety systems, and peripheral equipment at the client's facility in Tashkent, followed by rigorous multi-phase commissioning and performance validation testing.</w:t>
      </w:r>
    </w:p>
    <w:p>
      <w:pPr>
        <w:numPr>
          <w:ilvl w:val="0"/>
          <w:numId w:val="1001"/>
        </w:numPr>
        <w:pStyle w:val="Compact"/>
      </w:pPr>
      <w:r>
        <w:rPr>
          <w:bCs/>
          <w:b/>
        </w:rPr>
        <w:t xml:space="preserve">Operator and Maintenance Training:</w:t>
      </w:r>
      <w:r>
        <w:t xml:space="preserve"> </w:t>
      </w:r>
      <w:r>
        <w:t xml:space="preserve">Delivery of structured training programs for the client's engineering and operations staff in</w:t>
      </w:r>
      <w:r>
        <w:t xml:space="preserve"> </w:t>
      </w:r>
      <w:r>
        <w:t xml:space="preserve">Uzbekistan Tashkent</w:t>
      </w:r>
      <w:r>
        <w:t xml:space="preserve">, covering robotic operation, basic troubleshooting, preventive maintenance procedures, and safety protocols.</w:t>
      </w:r>
    </w:p>
    <w:p>
      <w:pPr>
        <w:numPr>
          <w:ilvl w:val="0"/>
          <w:numId w:val="1001"/>
        </w:numPr>
        <w:pStyle w:val="Compact"/>
      </w:pPr>
      <w:r>
        <w:rPr>
          <w:bCs/>
          <w:b/>
        </w:rPr>
        <w:t xml:space="preserve">Technical Documentation:</w:t>
      </w:r>
      <w:r>
        <w:t xml:space="preserve"> </w:t>
      </w:r>
      <w:r>
        <w:t xml:space="preserve">Provision of complete as-built drawings, programming source code, maintenance manuals, and operational guides in both English and Uzbek languages.</w:t>
      </w:r>
    </w:p>
    <w:p>
      <w:pPr>
        <w:numPr>
          <w:ilvl w:val="0"/>
          <w:numId w:val="1001"/>
        </w:numPr>
        <w:pStyle w:val="Compact"/>
      </w:pPr>
      <w:r>
        <w:rPr>
          <w:bCs/>
          <w:b/>
        </w:rPr>
        <w:t xml:space="preserve">Ongoing Technical Support:</w:t>
      </w:r>
      <w:r>
        <w:t xml:space="preserve"> </w:t>
      </w:r>
      <w:r>
        <w:t xml:space="preserve">Twelve (12) months of post-commissioning technical support, including remote diagnostics, quarterly on-site inspections in Tashkent, and priority response to critical system failures.</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Cost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Site Survey &amp; Feasibility Study – Robotics Engineer on-site in Tashkent, Uzbekistan</w:t>
            </w:r>
          </w:p>
        </w:tc>
        <w:tc>
          <w:tcPr/>
          <w:p>
            <w:pPr>
              <w:pStyle w:val="Compact"/>
              <w:jc w:val="left"/>
            </w:pPr>
            <w:r>
              <w:t xml:space="preserve">5 working days</w:t>
            </w:r>
          </w:p>
        </w:tc>
        <w:tc>
          <w:tcPr/>
          <w:p>
            <w:pPr>
              <w:pStyle w:val="Compact"/>
              <w:jc w:val="left"/>
            </w:pPr>
            <w:r>
              <w:t xml:space="preserve">$1,200</w:t>
            </w:r>
          </w:p>
        </w:tc>
        <w:tc>
          <w:tcPr/>
          <w:p>
            <w:pPr>
              <w:pStyle w:val="Compact"/>
              <w:jc w:val="left"/>
            </w:pPr>
            <w:r>
              <w:t xml:space="preserve">$6,000</w:t>
            </w:r>
          </w:p>
        </w:tc>
      </w:tr>
      <w:tr>
        <w:tc>
          <w:tcPr/>
          <w:p>
            <w:pPr>
              <w:pStyle w:val="Compact"/>
              <w:jc w:val="left"/>
            </w:pPr>
            <w:r>
              <w:t xml:space="preserve">02</w:t>
            </w:r>
          </w:p>
        </w:tc>
        <w:tc>
          <w:tcPr/>
          <w:p>
            <w:pPr>
              <w:pStyle w:val="Compact"/>
              <w:jc w:val="left"/>
            </w:pPr>
            <w:r>
              <w:t xml:space="preserve">Robotic System Design, Engineering &amp; CAD Documentation</w:t>
            </w:r>
          </w:p>
        </w:tc>
        <w:tc>
          <w:tcPr/>
          <w:p>
            <w:pPr>
              <w:pStyle w:val="Compact"/>
              <w:jc w:val="left"/>
            </w:pPr>
            <w:r>
              <w:t xml:space="preserve">15 working days</w:t>
            </w:r>
          </w:p>
        </w:tc>
        <w:tc>
          <w:tcPr/>
          <w:p>
            <w:pPr>
              <w:pStyle w:val="Compact"/>
              <w:jc w:val="left"/>
            </w:pPr>
            <w:r>
              <w:t xml:space="preserve">$1,500</w:t>
            </w:r>
          </w:p>
        </w:tc>
        <w:tc>
          <w:tcPr/>
          <w:p>
            <w:pPr>
              <w:pStyle w:val="Compact"/>
              <w:jc w:val="left"/>
            </w:pPr>
            <w:r>
              <w:t xml:space="preserve">$22,500</w:t>
            </w:r>
          </w:p>
        </w:tc>
      </w:tr>
      <w:tr>
        <w:tc>
          <w:tcPr/>
          <w:p>
            <w:pPr>
              <w:pStyle w:val="Compact"/>
              <w:jc w:val="left"/>
            </w:pPr>
            <w:r>
              <w:t xml:space="preserve">03</w:t>
            </w:r>
          </w:p>
        </w:tc>
        <w:tc>
          <w:tcPr/>
          <w:p>
            <w:pPr>
              <w:pStyle w:val="Compact"/>
              <w:jc w:val="left"/>
            </w:pPr>
            <w:r>
              <w:t xml:space="preserve">Robot Programming, PLC Integration &amp; HMI Development</w:t>
            </w:r>
          </w:p>
        </w:tc>
        <w:tc>
          <w:tcPr/>
          <w:p>
            <w:pPr>
              <w:pStyle w:val="Compact"/>
              <w:jc w:val="left"/>
            </w:pPr>
            <w:r>
              <w:t xml:space="preserve">20 working days</w:t>
            </w:r>
          </w:p>
        </w:tc>
        <w:tc>
          <w:tcPr/>
          <w:p>
            <w:pPr>
              <w:pStyle w:val="Compact"/>
              <w:jc w:val="left"/>
            </w:pPr>
            <w:r>
              <w:t xml:space="preserve">$1,400</w:t>
            </w:r>
          </w:p>
        </w:tc>
        <w:tc>
          <w:tcPr/>
          <w:p>
            <w:pPr>
              <w:pStyle w:val="Compact"/>
              <w:jc w:val="left"/>
            </w:pPr>
            <w:r>
              <w:t xml:space="preserve">$28,000</w:t>
            </w:r>
          </w:p>
        </w:tc>
      </w:tr>
      <w:tr>
        <w:tc>
          <w:tcPr/>
          <w:p>
            <w:pPr>
              <w:pStyle w:val="Compact"/>
              <w:jc w:val="left"/>
            </w:pPr>
            <w:r>
              <w:t xml:space="preserve">04</w:t>
            </w:r>
          </w:p>
        </w:tc>
        <w:tc>
          <w:tcPr/>
          <w:p>
            <w:pPr>
              <w:pStyle w:val="Compact"/>
              <w:jc w:val="left"/>
            </w:pPr>
            <w:r>
              <w:t xml:space="preserve">Installation, Safety System Setup &amp; Commissioning at Tashkent Facility</w:t>
            </w:r>
          </w:p>
        </w:tc>
        <w:tc>
          <w:tcPr/>
          <w:p>
            <w:pPr>
              <w:pStyle w:val="Compact"/>
              <w:jc w:val="left"/>
            </w:pPr>
            <w:r>
              <w:t xml:space="preserve">12 working days</w:t>
            </w:r>
          </w:p>
        </w:tc>
        <w:tc>
          <w:tcPr/>
          <w:p>
            <w:pPr>
              <w:pStyle w:val="Compact"/>
              <w:jc w:val="left"/>
            </w:pPr>
            <w:r>
              <w:t xml:space="preserve">$1,600</w:t>
            </w:r>
          </w:p>
        </w:tc>
        <w:tc>
          <w:tcPr/>
          <w:p>
            <w:pPr>
              <w:pStyle w:val="Compact"/>
              <w:jc w:val="left"/>
            </w:pPr>
            <w:r>
              <w:t xml:space="preserve">$19,200</w:t>
            </w:r>
          </w:p>
        </w:tc>
      </w:tr>
      <w:tr>
        <w:tc>
          <w:tcPr/>
          <w:p>
            <w:pPr>
              <w:pStyle w:val="Compact"/>
              <w:jc w:val="left"/>
            </w:pPr>
            <w:r>
              <w:t xml:space="preserve">05</w:t>
            </w:r>
          </w:p>
        </w:tc>
        <w:tc>
          <w:tcPr/>
          <w:p>
            <w:pPr>
              <w:pStyle w:val="Compact"/>
              <w:jc w:val="left"/>
            </w:pPr>
            <w:r>
              <w:t xml:space="preserve">Operator &amp; Maintenance Training Program (Uzbekistan Tashkent)</w:t>
            </w:r>
          </w:p>
        </w:tc>
        <w:tc>
          <w:tcPr/>
          <w:p>
            <w:pPr>
              <w:pStyle w:val="Compact"/>
              <w:jc w:val="left"/>
            </w:pPr>
            <w:r>
              <w:t xml:space="preserve">5 working days</w:t>
            </w:r>
          </w:p>
        </w:tc>
        <w:tc>
          <w:tcPr/>
          <w:p>
            <w:pPr>
              <w:pStyle w:val="Compact"/>
              <w:jc w:val="left"/>
            </w:pPr>
            <w:r>
              <w:t xml:space="preserve">$1,100</w:t>
            </w:r>
          </w:p>
        </w:tc>
        <w:tc>
          <w:tcPr/>
          <w:p>
            <w:pPr>
              <w:pStyle w:val="Compact"/>
              <w:jc w:val="left"/>
            </w:pPr>
            <w:r>
              <w:t xml:space="preserve">$5,500</w:t>
            </w:r>
          </w:p>
        </w:tc>
      </w:tr>
      <w:tr>
        <w:tc>
          <w:tcPr/>
          <w:p>
            <w:pPr>
              <w:pStyle w:val="Compact"/>
              <w:jc w:val="left"/>
            </w:pPr>
            <w:r>
              <w:t xml:space="preserve">06</w:t>
            </w:r>
          </w:p>
        </w:tc>
        <w:tc>
          <w:tcPr/>
          <w:p>
            <w:pPr>
              <w:pStyle w:val="Compact"/>
              <w:jc w:val="left"/>
            </w:pPr>
            <w:r>
              <w:t xml:space="preserve">Technical Documentation Package (English &amp; Uzbek)</w:t>
            </w:r>
          </w:p>
        </w:tc>
        <w:tc>
          <w:tcPr/>
          <w:p>
            <w:pPr>
              <w:pStyle w:val="Compact"/>
              <w:jc w:val="left"/>
            </w:pPr>
            <w:r>
              <w:t xml:space="preserve">1 lot</w:t>
            </w:r>
          </w:p>
        </w:tc>
        <w:tc>
          <w:tcPr/>
          <w:p>
            <w:pPr>
              <w:pStyle w:val="Compact"/>
              <w:jc w:val="left"/>
            </w:pPr>
            <w:r>
              <w:t xml:space="preserve">$3,500</w:t>
            </w:r>
          </w:p>
        </w:tc>
        <w:tc>
          <w:tcPr/>
          <w:p>
            <w:pPr>
              <w:pStyle w:val="Compact"/>
              <w:jc w:val="left"/>
            </w:pPr>
            <w:r>
              <w:t xml:space="preserve">$3,500</w:t>
            </w:r>
          </w:p>
        </w:tc>
      </w:tr>
      <w:tr>
        <w:tc>
          <w:tcPr/>
          <w:p>
            <w:pPr>
              <w:pStyle w:val="Compact"/>
              <w:jc w:val="left"/>
            </w:pPr>
            <w:r>
              <w:t xml:space="preserve">07</w:t>
            </w:r>
          </w:p>
        </w:tc>
        <w:tc>
          <w:tcPr/>
          <w:p>
            <w:pPr>
              <w:pStyle w:val="Compact"/>
              <w:jc w:val="left"/>
            </w:pPr>
            <w:r>
              <w:t xml:space="preserve">12-Month Post-Commissioning Technical Support &amp; Quarterly Inspections</w:t>
            </w:r>
          </w:p>
        </w:tc>
        <w:tc>
          <w:tcPr/>
          <w:p>
            <w:pPr>
              <w:pStyle w:val="Compact"/>
              <w:jc w:val="left"/>
            </w:pPr>
            <w:r>
              <w:t xml:space="preserve">12 months</w:t>
            </w:r>
          </w:p>
        </w:tc>
        <w:tc>
          <w:tcPr/>
          <w:p>
            <w:pPr>
              <w:pStyle w:val="Compact"/>
              <w:jc w:val="left"/>
            </w:pPr>
            <w:r>
              <w:t xml:space="preserve">$2,800</w:t>
            </w:r>
          </w:p>
        </w:tc>
        <w:tc>
          <w:tcPr/>
          <w:p>
            <w:pPr>
              <w:pStyle w:val="Compact"/>
              <w:jc w:val="left"/>
            </w:pPr>
            <w:r>
              <w:t xml:space="preserve">$33,600</w:t>
            </w:r>
          </w:p>
        </w:tc>
      </w:tr>
      <w:tr>
        <w:tc>
          <w:tcPr/>
          <w:p>
            <w:pPr>
              <w:pStyle w:val="Compact"/>
              <w:jc w:val="left"/>
            </w:pPr>
            <w:r>
              <w:t xml:space="preserve">08</w:t>
            </w:r>
          </w:p>
        </w:tc>
        <w:tc>
          <w:tcPr/>
          <w:p>
            <w:pPr>
              <w:pStyle w:val="Compact"/>
              <w:jc w:val="left"/>
            </w:pPr>
            <w:r>
              <w:t xml:space="preserve">Travel, Accommodation &amp; Logistics – Robotics Engineer to Uzbekistan Tashkent</w:t>
            </w:r>
          </w:p>
        </w:tc>
        <w:tc>
          <w:tcPr/>
          <w:p>
            <w:pPr>
              <w:pStyle w:val="Compact"/>
              <w:jc w:val="left"/>
            </w:pPr>
            <w:r>
              <w:t xml:space="preserve">4 visits</w:t>
            </w:r>
          </w:p>
        </w:tc>
        <w:tc>
          <w:tcPr/>
          <w:p>
            <w:pPr>
              <w:pStyle w:val="Compact"/>
              <w:jc w:val="left"/>
            </w:pPr>
            <w:r>
              <w:t xml:space="preserve">$2,200</w:t>
            </w:r>
          </w:p>
        </w:tc>
        <w:tc>
          <w:tcPr/>
          <w:p>
            <w:pPr>
              <w:pStyle w:val="Compact"/>
              <w:jc w:val="left"/>
            </w:pPr>
            <w:r>
              <w:t xml:space="preserve">$8,800</w:t>
            </w:r>
          </w:p>
        </w:tc>
      </w:tr>
      <w:tr>
        <w:tc>
          <w:tcPr>
            <w:gridSpan w:val="4"/>
          </w:tcPr>
          <w:p>
            <w:pPr>
              <w:pStyle w:val="Compact"/>
              <w:jc w:val="right"/>
            </w:pPr>
            <w:r>
              <w:t xml:space="preserve">SUBTOTAL</w:t>
            </w:r>
          </w:p>
        </w:tc>
        <w:tc>
          <w:tcPr/>
          <w:p>
            <w:pPr>
              <w:pStyle w:val="Compact"/>
              <w:jc w:val="left"/>
            </w:pPr>
            <w:r>
              <w:t xml:space="preserve">$127,100</w:t>
            </w:r>
          </w:p>
        </w:tc>
      </w:tr>
      <w:tr>
        <w:tc>
          <w:tcPr>
            <w:gridSpan w:val="4"/>
          </w:tcPr>
          <w:p>
            <w:pPr>
              <w:pStyle w:val="Compact"/>
              <w:jc w:val="right"/>
            </w:pPr>
            <w:r>
              <w:t xml:space="preserve">VAT / Applicable Taxes (Uzbekistan)</w:t>
            </w:r>
          </w:p>
        </w:tc>
        <w:tc>
          <w:tcPr/>
          <w:p>
            <w:pPr>
              <w:pStyle w:val="Compact"/>
              <w:jc w:val="left"/>
            </w:pPr>
            <w:r>
              <w:t xml:space="preserve">$12,710</w:t>
            </w:r>
          </w:p>
        </w:tc>
      </w:tr>
      <w:tr>
        <w:tc>
          <w:tcPr>
            <w:gridSpan w:val="4"/>
          </w:tcPr>
          <w:p>
            <w:pPr>
              <w:pStyle w:val="Compact"/>
              <w:jc w:val="right"/>
            </w:pPr>
            <w:r>
              <w:rPr>
                <w:bCs/>
                <w:b/>
              </w:rPr>
              <w:t xml:space="preserve">GRAND TOTAL (USD)</w:t>
            </w:r>
          </w:p>
        </w:tc>
        <w:tc>
          <w:tcPr/>
          <w:p>
            <w:pPr>
              <w:pStyle w:val="Compact"/>
              <w:jc w:val="left"/>
            </w:pPr>
            <w:r>
              <w:rPr>
                <w:bCs/>
                <w:b/>
              </w:rPr>
              <w:t xml:space="preserve">$139,810</w:t>
            </w:r>
          </w:p>
        </w:tc>
      </w:tr>
    </w:tbl>
    <w:bookmarkEnd w:id="23"/>
    <w:bookmarkStart w:id="24" w:name="payment-schedule"/>
    <w:p>
      <w:pPr>
        <w:pStyle w:val="Heading2"/>
      </w:pPr>
      <w:r>
        <w:t xml:space="preserve">4. Payment Schedule</w:t>
      </w:r>
    </w:p>
    <w:p>
      <w:pPr>
        <w:pStyle w:val="FirstParagraph"/>
      </w:pPr>
      <w:r>
        <w:t xml:space="preserve">This</w:t>
      </w:r>
      <w:r>
        <w:t xml:space="preserve"> </w:t>
      </w:r>
      <w:r>
        <w:t xml:space="preserve">Quotation Estimate</w:t>
      </w:r>
      <w:r>
        <w:t xml:space="preserve"> </w:t>
      </w:r>
      <w:r>
        <w:t xml:space="preserve">proposes the following milestone-based payment structure for the</w:t>
      </w:r>
      <w:r>
        <w:t xml:space="preserve"> </w:t>
      </w:r>
      <w:r>
        <w:t xml:space="preserve">Robotics Engineer</w:t>
      </w:r>
      <w:r>
        <w:t xml:space="preserve"> </w:t>
      </w:r>
      <w:r>
        <w:t xml:space="preserve">services in</w:t>
      </w:r>
      <w:r>
        <w:t xml:space="preserve"> </w:t>
      </w:r>
      <w:r>
        <w:t xml:space="preserve">Uzbekistan Tashkent</w:t>
      </w:r>
      <w:r>
        <w:t xml:space="preserve">:</w:t>
      </w:r>
    </w:p>
    <w:p>
      <w:pPr>
        <w:numPr>
          <w:ilvl w:val="0"/>
          <w:numId w:val="1002"/>
        </w:numPr>
        <w:pStyle w:val="Compact"/>
      </w:pPr>
      <w:r>
        <w:rPr>
          <w:bCs/>
          <w:b/>
        </w:rPr>
        <w:t xml:space="preserve">30% Advance Payment ($41,943):</w:t>
      </w:r>
      <w:r>
        <w:t xml:space="preserve"> </w:t>
      </w:r>
      <w:r>
        <w:t xml:space="preserve">Due upon signed acceptance of this Quotation Estimate and execution of the master service agreement.</w:t>
      </w:r>
    </w:p>
    <w:p>
      <w:pPr>
        <w:numPr>
          <w:ilvl w:val="0"/>
          <w:numId w:val="1002"/>
        </w:numPr>
        <w:pStyle w:val="Compact"/>
      </w:pPr>
      <w:r>
        <w:rPr>
          <w:bCs/>
          <w:b/>
        </w:rPr>
        <w:t xml:space="preserve">25% upon Design Completion ($34,953):</w:t>
      </w:r>
      <w:r>
        <w:t xml:space="preserve"> </w:t>
      </w:r>
      <w:r>
        <w:t xml:space="preserve">Payable upon client approval of all engineering drawings, system architecture documents, and programming specifications.</w:t>
      </w:r>
    </w:p>
    <w:p>
      <w:pPr>
        <w:numPr>
          <w:ilvl w:val="0"/>
          <w:numId w:val="1002"/>
        </w:numPr>
        <w:pStyle w:val="Compact"/>
      </w:pPr>
      <w:r>
        <w:rPr>
          <w:bCs/>
          <w:b/>
        </w:rPr>
        <w:t xml:space="preserve">30% upon Commissioning ($41,943):</w:t>
      </w:r>
      <w:r>
        <w:t xml:space="preserve"> </w:t>
      </w:r>
      <w:r>
        <w:t xml:space="preserve">Payable upon successful completion of all commissioning tests and sign-off by the client's technical representative in Tashkent.</w:t>
      </w:r>
    </w:p>
    <w:p>
      <w:pPr>
        <w:numPr>
          <w:ilvl w:val="0"/>
          <w:numId w:val="1002"/>
        </w:numPr>
        <w:pStyle w:val="Compact"/>
      </w:pPr>
      <w:r>
        <w:rPr>
          <w:bCs/>
          <w:b/>
        </w:rPr>
        <w:t xml:space="preserve">15% upon Final Acceptance ($20,971):</w:t>
      </w:r>
      <w:r>
        <w:t xml:space="preserve"> </w:t>
      </w:r>
      <w:r>
        <w:t xml:space="preserve">Payable upon delivery of complete documentation, training completion, and final project acceptance certificate.</w:t>
      </w:r>
    </w:p>
    <w:bookmarkEnd w:id="24"/>
    <w:bookmarkStart w:id="25" w:name="terms-and-conditions"/>
    <w:p>
      <w:pPr>
        <w:pStyle w:val="Heading2"/>
      </w:pPr>
      <w:r>
        <w:t xml:space="preserve">5. Terms and Conditions</w:t>
      </w:r>
    </w:p>
    <w:p>
      <w:pPr>
        <w:numPr>
          <w:ilvl w:val="0"/>
          <w:numId w:val="1003"/>
        </w:numPr>
        <w:pStyle w:val="Compact"/>
      </w:pPr>
      <w:r>
        <w:t xml:space="preserve">This</w:t>
      </w:r>
      <w:r>
        <w:t xml:space="preserve"> </w:t>
      </w:r>
      <w:r>
        <w:t xml:space="preserve">Quotation Estimate</w:t>
      </w:r>
      <w:r>
        <w:t xml:space="preserve"> </w:t>
      </w:r>
      <w:r>
        <w:t xml:space="preserve">is valid for thirty (30) calendar days from the date of issue. Beyond this period, pricing may be subject to revision due to currency fluctuations, travel cost changes, or availability of the</w:t>
      </w:r>
      <w:r>
        <w:t xml:space="preserve"> </w:t>
      </w:r>
      <w:r>
        <w:t xml:space="preserve">Robotics Engineer</w:t>
      </w:r>
      <w:r>
        <w:t xml:space="preserve">.</w:t>
      </w:r>
    </w:p>
    <w:p>
      <w:pPr>
        <w:numPr>
          <w:ilvl w:val="0"/>
          <w:numId w:val="1003"/>
        </w:numPr>
        <w:pStyle w:val="Compact"/>
      </w:pPr>
      <w:r>
        <w:t xml:space="preserve">All payments shall be made in US Dollars (USD) via international wire transfer to the account specified in the master service agreement. The client is responsible for any intermediary banking fees incurred in Uzbekistan.</w:t>
      </w:r>
    </w:p>
    <w:p>
      <w:pPr>
        <w:numPr>
          <w:ilvl w:val="0"/>
          <w:numId w:val="1003"/>
        </w:numPr>
        <w:pStyle w:val="Compact"/>
      </w:pPr>
      <w:r>
        <w:t xml:space="preserve">The</w:t>
      </w:r>
      <w:r>
        <w:t xml:space="preserve"> </w:t>
      </w:r>
      <w:r>
        <w:t xml:space="preserve">Robotics Engineer</w:t>
      </w:r>
      <w:r>
        <w:t xml:space="preserve"> </w:t>
      </w:r>
      <w:r>
        <w:t xml:space="preserve">shall comply with all applicable labor laws, visa requirements, and work permit regulations of the Republic of Uzbekistan. The client shall assist in obtaining necessary work visas and local permits for the engineer's presence in Tashkent.</w:t>
      </w:r>
    </w:p>
    <w:p>
      <w:pPr>
        <w:numPr>
          <w:ilvl w:val="0"/>
          <w:numId w:val="1003"/>
        </w:numPr>
        <w:pStyle w:val="Compact"/>
      </w:pPr>
      <w:r>
        <w:t xml:space="preserve">Intellectual property rights for all custom programming, system designs, and documentation developed specifically for this project in</w:t>
      </w:r>
      <w:r>
        <w:t xml:space="preserve"> </w:t>
      </w:r>
      <w:r>
        <w:t xml:space="preserve">Uzbekistan Tashkent</w:t>
      </w:r>
      <w:r>
        <w:t xml:space="preserve"> </w:t>
      </w:r>
      <w:r>
        <w:t xml:space="preserve">shall transfer to the client upon full payment.</w:t>
      </w:r>
    </w:p>
    <w:p>
      <w:pPr>
        <w:numPr>
          <w:ilvl w:val="0"/>
          <w:numId w:val="1003"/>
        </w:numPr>
        <w:pStyle w:val="Compact"/>
      </w:pPr>
      <w:r>
        <w:t xml:space="preserve">The</w:t>
      </w:r>
      <w:r>
        <w:t xml:space="preserve"> </w:t>
      </w:r>
      <w:r>
        <w:t xml:space="preserve">Robotics Engineer</w:t>
      </w:r>
      <w:r>
        <w:t xml:space="preserve"> </w:t>
      </w:r>
      <w:r>
        <w:t xml:space="preserve">shall maintain professional liability insurance with a minimum coverage of USD 1,000,000 for the duration of the engagement.</w:t>
      </w:r>
    </w:p>
    <w:p>
      <w:pPr>
        <w:numPr>
          <w:ilvl w:val="0"/>
          <w:numId w:val="1003"/>
        </w:numPr>
        <w:pStyle w:val="Compact"/>
      </w:pPr>
      <w:r>
        <w:t xml:space="preserve">Any changes to the scope of work beyond what is described in this Quotation Estimate shall be subject to a formal change order and additional cost assessment prior to implementation.</w:t>
      </w:r>
    </w:p>
    <w:p>
      <w:pPr>
        <w:numPr>
          <w:ilvl w:val="0"/>
          <w:numId w:val="1003"/>
        </w:numPr>
        <w:pStyle w:val="Compact"/>
      </w:pPr>
      <w:r>
        <w:t xml:space="preserve">Force majeure events, including but not limited to natural disasters, government-imposed restrictions, or international travel bans affecting access to Uzbekistan, shall suspend obligations under this agreement without penalty to either party.</w:t>
      </w:r>
    </w:p>
    <w:p>
      <w:pPr>
        <w:numPr>
          <w:ilvl w:val="0"/>
          <w:numId w:val="1003"/>
        </w:numPr>
        <w:pStyle w:val="Compact"/>
      </w:pPr>
      <w:r>
        <w:t xml:space="preserve">Disputes arising from this Quotation Estimate or the resulting service agreement shall be resolved through arbitration in Tashkent, Uzbekistan, in accordance with the rules of the International Chamber of Commerce (ICC).</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for</w:t>
      </w:r>
      <w:r>
        <w:t xml:space="preserve"> </w:t>
      </w:r>
      <w:r>
        <w:t xml:space="preserve">Robotics Engineer</w:t>
      </w:r>
      <w:r>
        <w:t xml:space="preserve"> </w:t>
      </w:r>
      <w:r>
        <w:t xml:space="preserve">services in</w:t>
      </w:r>
      <w:r>
        <w:t xml:space="preserve"> </w:t>
      </w:r>
      <w:r>
        <w:t xml:space="preserve">Uzbekistan Tashkent</w:t>
      </w:r>
      <w:r>
        <w:t xml:space="preserve"> </w:t>
      </w:r>
      <w:r>
        <w:t xml:space="preserve">and agrees to the terms, conditions, and pricing outlined herein. This signature constitutes formal acceptance and authorizes the commencement of the project upon receipt of the advance payment.</w:t>
      </w:r>
    </w:p>
    <w:p>
      <w:pPr>
        <w:pStyle w:val="BodyText"/>
      </w:pPr>
      <w:r>
        <w:rPr>
          <w:bCs/>
          <w:b/>
        </w:rPr>
        <w:t xml:space="preserve">For the Service Provider</w:t>
      </w:r>
      <w:r>
        <w:br/>
      </w:r>
      <w:r>
        <w:t xml:space="preserve">Name: _________________________</w:t>
      </w:r>
      <w:r>
        <w:br/>
      </w:r>
      <w:r>
        <w:t xml:space="preserve">Title: Lead Robotics Engineer</w:t>
      </w:r>
      <w:r>
        <w:br/>
      </w:r>
      <w:r>
        <w:t xml:space="preserve">Date: _________________________</w:t>
      </w:r>
    </w:p>
    <w:p>
      <w:pPr>
        <w:pStyle w:val="BodyText"/>
      </w:pPr>
      <w:r>
        <w:rPr>
          <w:bCs/>
          <w:b/>
        </w:rPr>
        <w:t xml:space="preserve">For the Client</w:t>
      </w:r>
      <w:r>
        <w:br/>
      </w:r>
      <w:r>
        <w:t xml:space="preserve">Name: _________________________</w:t>
      </w:r>
      <w:r>
        <w:br/>
      </w:r>
      <w:r>
        <w:t xml:space="preserve">Title: _________________________</w:t>
      </w:r>
      <w:r>
        <w:br/>
      </w:r>
      <w:r>
        <w:t xml:space="preserve">Date: _________________________</w:t>
      </w:r>
    </w:p>
    <w:p>
      <w:pPr>
        <w:pStyle w:val="BodyText"/>
      </w:pPr>
      <w:r>
        <w:t xml:space="preserve">Quotation Estimate QE-2025-TSK-0472 | Robotics Engineer Services | Uzbekistan Tashkent</w:t>
      </w:r>
    </w:p>
    <w:p>
      <w:pPr>
        <w:pStyle w:val="BodyText"/>
      </w:pPr>
      <w:r>
        <w:t xml:space="preserve">This document is confidential and intended solely for the named recipient. Unauthorized reproduction or distribution is prohibited.</w:t>
      </w:r>
    </w:p>
    <w:p>
      <w:pPr>
        <w:pStyle w:val="BodyText"/>
      </w:pPr>
      <w:r>
        <w:t xml:space="preserve">© 2025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Robotics Engineer Services - Uzbekistan Tashkent</dc:title>
  <dc:creator/>
  <dc:language>en</dc:language>
  <cp:keywords/>
  <dcterms:created xsi:type="dcterms:W3CDTF">2026-10-10T09:06:46Z</dcterms:created>
  <dcterms:modified xsi:type="dcterms:W3CDTF">2026-10-10T09:06:46Z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