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Engagement of a Sales Executive — China Guangzhou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Document Reference No.</w:t>
            </w:r>
          </w:p>
        </w:tc>
        <w:tc>
          <w:tcPr/>
          <w:p>
            <w:pPr>
              <w:pStyle w:val="Compact"/>
              <w:jc w:val="left"/>
            </w:pPr>
            <w:r>
              <w:t xml:space="preserve">QE-GZ-2025-0047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Prepared By</w:t>
            </w:r>
          </w:p>
        </w:tc>
        <w:tc>
          <w:tcPr/>
          <w:p>
            <w:pPr>
              <w:pStyle w:val="Compact"/>
              <w:jc w:val="left"/>
            </w:pPr>
            <w:r>
              <w:t xml:space="preserve">HR &amp; Talent Acquisition Division, Pacific Bridge Consulting Ltd.</w:t>
            </w:r>
          </w:p>
        </w:tc>
      </w:tr>
      <w:tr>
        <w:tc>
          <w:tcPr/>
          <w:p>
            <w:pPr>
              <w:pStyle w:val="Compact"/>
              <w:jc w:val="left"/>
            </w:pPr>
            <w:r>
              <w:t xml:space="preserve">Prepared For</w:t>
            </w:r>
          </w:p>
        </w:tc>
        <w:tc>
          <w:tcPr/>
          <w:p>
            <w:pPr>
              <w:pStyle w:val="Compact"/>
              <w:jc w:val="left"/>
            </w:pPr>
            <w:r>
              <w:t xml:space="preserve">Guangzhou International Trade Development Co., Ltd. (Guangzhou, China)</w:t>
            </w:r>
          </w:p>
        </w:tc>
      </w:tr>
      <w:tr>
        <w:tc>
          <w:tcPr/>
          <w:p>
            <w:pPr>
              <w:pStyle w:val="Compact"/>
              <w:jc w:val="left"/>
            </w:pPr>
            <w:r>
              <w:t xml:space="preserve">Position</w:t>
            </w:r>
          </w:p>
        </w:tc>
        <w:tc>
          <w:tcPr/>
          <w:p>
            <w:pPr>
              <w:pStyle w:val="Compact"/>
              <w:jc w:val="left"/>
            </w:pPr>
            <w:r>
              <w:t xml:space="preserve">Sales Executive — Greater Guangzhou &amp; Pearl River Delta Region</w:t>
            </w:r>
          </w:p>
        </w:tc>
      </w:tr>
      <w:tr>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Currency</w:t>
            </w:r>
          </w:p>
        </w:tc>
        <w:tc>
          <w:tcPr/>
          <w:p>
            <w:pPr>
              <w:pStyle w:val="Compact"/>
              <w:jc w:val="left"/>
            </w:pPr>
            <w:r>
              <w:t xml:space="preserve">Chinese Yuan (CNY / RMB)</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Pacific Bridge Consulting Ltd. to provide a comprehensive and itemized cost breakdown for the recruitment, onboarding, and first-year engagement of a qualified</w:t>
      </w:r>
      <w:r>
        <w:t xml:space="preserve"> </w:t>
      </w:r>
      <w:r>
        <w:rPr>
          <w:bCs/>
          <w:b/>
        </w:rPr>
        <w:t xml:space="preserve">Sales Executive</w:t>
      </w:r>
      <w:r>
        <w:t xml:space="preserve"> </w:t>
      </w:r>
      <w:r>
        <w:t xml:space="preserve">to be stationed and operating within</w:t>
      </w:r>
      <w:r>
        <w:t xml:space="preserve"> </w:t>
      </w:r>
      <w:r>
        <w:rPr>
          <w:bCs/>
          <w:b/>
        </w:rPr>
        <w:t xml:space="preserve">China Guangzhou</w:t>
      </w:r>
      <w:r>
        <w:t xml:space="preserve">. The Sales Executive will be responsible for driving revenue growth, managing key client relationships, and expanding the company's market footprint across the Pearl River Delta economic zone, with Guangzhou serving as the primary operational headquarters.</w:t>
      </w:r>
    </w:p>
    <w:p>
      <w:pPr>
        <w:pStyle w:val="BodyText"/>
      </w:pPr>
      <w:r>
        <w:t xml:space="preserve">This document constitutes a formal Quotation Estimate and does not represent a binding contract until both parties have executed the definitive employment or service agreement. All figures presented herein are estimates based on current market conditions in Guangzhou as of the date of issue and are subject to revision should market rates fluctuate by more than five percent (5%) prior to final acceptance.</w:t>
      </w:r>
    </w:p>
    <w:bookmarkEnd w:id="21"/>
    <w:bookmarkStart w:id="22" w:name="Xd251552f1b2aaa002425ac781e438c385a52eb4"/>
    <w:p>
      <w:pPr>
        <w:pStyle w:val="Heading2"/>
      </w:pPr>
      <w:r>
        <w:t xml:space="preserve">2. Role Description — Sales Executive, China Guangzhou</w:t>
      </w:r>
    </w:p>
    <w:p>
      <w:pPr>
        <w:pStyle w:val="FirstParagraph"/>
      </w:pPr>
      <w:r>
        <w:t xml:space="preserve">The Sales Executive engaged under this Quotation Estimate will report directly to the Regional Sales Director based in Guangzhou. The primary responsibilities include, but are not limited to:</w:t>
      </w:r>
    </w:p>
    <w:p>
      <w:pPr>
        <w:numPr>
          <w:ilvl w:val="0"/>
          <w:numId w:val="1001"/>
        </w:numPr>
        <w:pStyle w:val="Compact"/>
      </w:pPr>
      <w:r>
        <w:t xml:space="preserve">Developing and executing a strategic sales plan tailored to the Guangzhou metropolitan area and surrounding municipalities including Foshan, Zhongshan, and Dongguan.</w:t>
      </w:r>
    </w:p>
    <w:p>
      <w:pPr>
        <w:numPr>
          <w:ilvl w:val="0"/>
          <w:numId w:val="1001"/>
        </w:numPr>
        <w:pStyle w:val="Compact"/>
      </w:pPr>
      <w:r>
        <w:t xml:space="preserve">Identifying, prospecting, and closing new business opportunities with manufacturing, technology, and trade-sector clients operating in China Guangzhou.</w:t>
      </w:r>
    </w:p>
    <w:p>
      <w:pPr>
        <w:numPr>
          <w:ilvl w:val="0"/>
          <w:numId w:val="1001"/>
        </w:numPr>
        <w:pStyle w:val="Compact"/>
      </w:pPr>
      <w:r>
        <w:t xml:space="preserve">Maintaining and nurturing existing client portfolios to ensure retention rates exceeding 90% year-over-year.</w:t>
      </w:r>
    </w:p>
    <w:p>
      <w:pPr>
        <w:numPr>
          <w:ilvl w:val="0"/>
          <w:numId w:val="1001"/>
        </w:numPr>
        <w:pStyle w:val="Compact"/>
      </w:pPr>
      <w:r>
        <w:t xml:space="preserve">Conducting market intelligence research on competitors and industry trends specific to the Guangzhou commercial landscape.</w:t>
      </w:r>
    </w:p>
    <w:p>
      <w:pPr>
        <w:numPr>
          <w:ilvl w:val="0"/>
          <w:numId w:val="1001"/>
        </w:numPr>
        <w:pStyle w:val="Compact"/>
      </w:pPr>
      <w:r>
        <w:t xml:space="preserve">Representing the company at trade exhibitions, industry forums, and networking events held in Guangzhou and the broader Guangdong Province.</w:t>
      </w:r>
    </w:p>
    <w:p>
      <w:pPr>
        <w:numPr>
          <w:ilvl w:val="0"/>
          <w:numId w:val="1001"/>
        </w:numPr>
        <w:pStyle w:val="Compact"/>
      </w:pPr>
      <w:r>
        <w:t xml:space="preserve">Preparing weekly and monthly sales performance reports for senior management review.</w:t>
      </w:r>
    </w:p>
    <w:p>
      <w:pPr>
        <w:numPr>
          <w:ilvl w:val="0"/>
          <w:numId w:val="1001"/>
        </w:numPr>
        <w:pStyle w:val="Compact"/>
      </w:pPr>
      <w:r>
        <w:t xml:space="preserve">Collaborating with the marketing and product development teams to align sales strategies with broader corporate objectives.</w:t>
      </w:r>
    </w:p>
    <w:bookmarkEnd w:id="22"/>
    <w:bookmarkStart w:id="23" w:name="X162438cba6ad3e2520201ccbaea6c0f8c4e14b8"/>
    <w:p>
      <w:pPr>
        <w:pStyle w:val="Heading2"/>
      </w:pPr>
      <w:r>
        <w:t xml:space="preserve">3. Candidate Qualifications and Requirements</w:t>
      </w:r>
    </w:p>
    <w:p>
      <w:pPr>
        <w:pStyle w:val="FirstParagraph"/>
      </w:pPr>
      <w:r>
        <w:t xml:space="preserve">The Sales Executive candidate identified under this Quotation Estimate must meet the following minimum criteria:</w:t>
      </w:r>
    </w:p>
    <w:p>
      <w:pPr>
        <w:numPr>
          <w:ilvl w:val="0"/>
          <w:numId w:val="1002"/>
        </w:numPr>
        <w:pStyle w:val="Compact"/>
      </w:pPr>
      <w:r>
        <w:t xml:space="preserve">A minimum of five (5) years of progressive sales experience in B2B or B2C environments, with at least two (2) years in the China Guangzhou or Pearl River Delta market.</w:t>
      </w:r>
    </w:p>
    <w:p>
      <w:pPr>
        <w:numPr>
          <w:ilvl w:val="0"/>
          <w:numId w:val="1002"/>
        </w:numPr>
        <w:pStyle w:val="Compact"/>
      </w:pPr>
      <w:r>
        <w:t xml:space="preserve">Fluency in Mandarin Chinese (native or near-native proficiency) and professional working proficiency in English.</w:t>
      </w:r>
    </w:p>
    <w:p>
      <w:pPr>
        <w:numPr>
          <w:ilvl w:val="0"/>
          <w:numId w:val="1002"/>
        </w:numPr>
        <w:pStyle w:val="Compact"/>
      </w:pPr>
      <w:r>
        <w:t xml:space="preserve">A bachelor's degree in Business Administration, Marketing, International Trade, or a related discipline from an accredited institution.</w:t>
      </w:r>
    </w:p>
    <w:p>
      <w:pPr>
        <w:numPr>
          <w:ilvl w:val="0"/>
          <w:numId w:val="1002"/>
        </w:numPr>
        <w:pStyle w:val="Compact"/>
      </w:pPr>
      <w:r>
        <w:t xml:space="preserve">Demonstrated track record of meeting or exceeding annual sales targets by 15% or more.</w:t>
      </w:r>
    </w:p>
    <w:p>
      <w:pPr>
        <w:numPr>
          <w:ilvl w:val="0"/>
          <w:numId w:val="1002"/>
        </w:numPr>
        <w:pStyle w:val="Compact"/>
      </w:pPr>
      <w:r>
        <w:t xml:space="preserve">Valid work authorization or eligibility for a work permit in the People's Republic of China, specifically for the Guangzhou municipality.</w:t>
      </w:r>
    </w:p>
    <w:p>
      <w:pPr>
        <w:numPr>
          <w:ilvl w:val="0"/>
          <w:numId w:val="1002"/>
        </w:numPr>
        <w:pStyle w:val="Compact"/>
      </w:pPr>
      <w:r>
        <w:t xml:space="preserve">Proficiency in CRM platforms (e.g., Salesforce, Zoho, or equivalent) and Microsoft Office Suite.</w:t>
      </w:r>
    </w:p>
    <w:p>
      <w:pPr>
        <w:numPr>
          <w:ilvl w:val="0"/>
          <w:numId w:val="1002"/>
        </w:numPr>
        <w:pStyle w:val="Compact"/>
      </w:pPr>
      <w:r>
        <w:t xml:space="preserve">Willingness to travel within Guangdong Province and, on occasion, to other regions of China for client meetings.</w:t>
      </w:r>
    </w:p>
    <w:bookmarkEnd w:id="23"/>
    <w:bookmarkStart w:id="24" w:name="itemized-cost-breakdown"/>
    <w:p>
      <w:pPr>
        <w:pStyle w:val="Heading2"/>
      </w:pPr>
      <w:r>
        <w:t xml:space="preserve">4. Itemized Cost Breakdown</w:t>
      </w:r>
    </w:p>
    <w:p>
      <w:pPr>
        <w:pStyle w:val="FirstParagraph"/>
      </w:pPr>
      <w:r>
        <w:t xml:space="preserve">The following table presents the detailed Quotation Estimate for all costs associated with the recruitment, onboarding, and first-year compensation of the Sales Executive in China Guangzhou:</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Amount (CNY)</w:t>
            </w:r>
          </w:p>
        </w:tc>
      </w:tr>
      <w:tr>
        <w:tc>
          <w:tcPr/>
          <w:p>
            <w:pPr>
              <w:pStyle w:val="Compact"/>
              <w:jc w:val="left"/>
            </w:pPr>
            <w:r>
              <w:t xml:space="preserve">4.1</w:t>
            </w:r>
          </w:p>
        </w:tc>
        <w:tc>
          <w:tcPr/>
          <w:p>
            <w:pPr>
              <w:pStyle w:val="Compact"/>
              <w:jc w:val="left"/>
            </w:pPr>
            <w:r>
              <w:t xml:space="preserve">Recruitment &amp; Sourcing Fee (one-time)</w:t>
            </w:r>
          </w:p>
        </w:tc>
        <w:tc>
          <w:tcPr/>
          <w:p>
            <w:pPr>
              <w:pStyle w:val="Compact"/>
              <w:jc w:val="left"/>
            </w:pPr>
            <w:r>
              <w:t xml:space="preserve">45,000.00</w:t>
            </w:r>
          </w:p>
        </w:tc>
      </w:tr>
      <w:tr>
        <w:tc>
          <w:tcPr/>
          <w:p>
            <w:pPr>
              <w:pStyle w:val="Compact"/>
              <w:jc w:val="left"/>
            </w:pPr>
            <w:r>
              <w:t xml:space="preserve">4.2</w:t>
            </w:r>
          </w:p>
        </w:tc>
        <w:tc>
          <w:tcPr/>
          <w:p>
            <w:pPr>
              <w:pStyle w:val="Compact"/>
              <w:jc w:val="left"/>
            </w:pPr>
            <w:r>
              <w:t xml:space="preserve">Background Verification &amp; Reference Checks</w:t>
            </w:r>
          </w:p>
        </w:tc>
        <w:tc>
          <w:tcPr/>
          <w:p>
            <w:pPr>
              <w:pStyle w:val="Compact"/>
              <w:jc w:val="left"/>
            </w:pPr>
            <w:r>
              <w:t xml:space="preserve">6,500.00</w:t>
            </w:r>
          </w:p>
        </w:tc>
      </w:tr>
      <w:tr>
        <w:tc>
          <w:tcPr/>
          <w:p>
            <w:pPr>
              <w:pStyle w:val="Compact"/>
              <w:jc w:val="left"/>
            </w:pPr>
            <w:r>
              <w:t xml:space="preserve">4.3</w:t>
            </w:r>
          </w:p>
        </w:tc>
        <w:tc>
          <w:tcPr/>
          <w:p>
            <w:pPr>
              <w:pStyle w:val="Compact"/>
              <w:jc w:val="left"/>
            </w:pPr>
            <w:r>
              <w:t xml:space="preserve">Work Permit &amp; Visa Processing (Guangzhou)</w:t>
            </w:r>
          </w:p>
        </w:tc>
        <w:tc>
          <w:tcPr/>
          <w:p>
            <w:pPr>
              <w:pStyle w:val="Compact"/>
              <w:jc w:val="left"/>
            </w:pPr>
            <w:r>
              <w:t xml:space="preserve">12,000.00</w:t>
            </w:r>
          </w:p>
        </w:tc>
      </w:tr>
      <w:tr>
        <w:tc>
          <w:tcPr/>
          <w:p>
            <w:pPr>
              <w:pStyle w:val="Compact"/>
              <w:jc w:val="left"/>
            </w:pPr>
            <w:r>
              <w:t xml:space="preserve">4.4</w:t>
            </w:r>
          </w:p>
        </w:tc>
        <w:tc>
          <w:tcPr/>
          <w:p>
            <w:pPr>
              <w:pStyle w:val="Compact"/>
              <w:jc w:val="left"/>
            </w:pPr>
            <w:r>
              <w:t xml:space="preserve">Pre-Employment Medical Examination</w:t>
            </w:r>
          </w:p>
        </w:tc>
        <w:tc>
          <w:tcPr/>
          <w:p>
            <w:pPr>
              <w:pStyle w:val="Compact"/>
              <w:jc w:val="left"/>
            </w:pPr>
            <w:r>
              <w:t xml:space="preserve">2,800.00</w:t>
            </w:r>
          </w:p>
        </w:tc>
      </w:tr>
      <w:tr>
        <w:tc>
          <w:tcPr/>
          <w:p>
            <w:pPr>
              <w:pStyle w:val="Compact"/>
              <w:jc w:val="left"/>
            </w:pPr>
            <w:r>
              <w:t xml:space="preserve">4.5</w:t>
            </w:r>
          </w:p>
        </w:tc>
        <w:tc>
          <w:tcPr/>
          <w:p>
            <w:pPr>
              <w:pStyle w:val="Compact"/>
              <w:jc w:val="left"/>
            </w:pPr>
            <w:r>
              <w:t xml:space="preserve">Onboarding &amp; Orientation Program (2 weeks)</w:t>
            </w:r>
          </w:p>
        </w:tc>
        <w:tc>
          <w:tcPr/>
          <w:p>
            <w:pPr>
              <w:pStyle w:val="Compact"/>
              <w:jc w:val="left"/>
            </w:pPr>
            <w:r>
              <w:t xml:space="preserve">15,000.00</w:t>
            </w:r>
          </w:p>
        </w:tc>
      </w:tr>
      <w:tr>
        <w:tc>
          <w:tcPr/>
          <w:p>
            <w:pPr>
              <w:pStyle w:val="Compact"/>
              <w:jc w:val="left"/>
            </w:pPr>
            <w:r>
              <w:t xml:space="preserve">4.6</w:t>
            </w:r>
          </w:p>
        </w:tc>
        <w:tc>
          <w:tcPr/>
          <w:p>
            <w:pPr>
              <w:pStyle w:val="Compact"/>
              <w:jc w:val="left"/>
            </w:pPr>
            <w:r>
              <w:t xml:space="preserve">Base Annual Salary (12 months, Guangzhou market rate)</w:t>
            </w:r>
          </w:p>
        </w:tc>
        <w:tc>
          <w:tcPr/>
          <w:p>
            <w:pPr>
              <w:pStyle w:val="Compact"/>
              <w:jc w:val="left"/>
            </w:pPr>
            <w:r>
              <w:t xml:space="preserve">240,000.00</w:t>
            </w:r>
          </w:p>
        </w:tc>
      </w:tr>
      <w:tr>
        <w:tc>
          <w:tcPr/>
          <w:p>
            <w:pPr>
              <w:pStyle w:val="Compact"/>
              <w:jc w:val="left"/>
            </w:pPr>
            <w:r>
              <w:t xml:space="preserve">4.7</w:t>
            </w:r>
          </w:p>
        </w:tc>
        <w:tc>
          <w:tcPr/>
          <w:p>
            <w:pPr>
              <w:pStyle w:val="Compact"/>
              <w:jc w:val="left"/>
            </w:pPr>
            <w:r>
              <w:t xml:space="preserve">Performance-Based Commission (estimated, Year 1)</w:t>
            </w:r>
          </w:p>
        </w:tc>
        <w:tc>
          <w:tcPr/>
          <w:p>
            <w:pPr>
              <w:pStyle w:val="Compact"/>
              <w:jc w:val="left"/>
            </w:pPr>
            <w:r>
              <w:t xml:space="preserve">60,000.00</w:t>
            </w:r>
          </w:p>
        </w:tc>
      </w:tr>
      <w:tr>
        <w:tc>
          <w:tcPr/>
          <w:p>
            <w:pPr>
              <w:pStyle w:val="Compact"/>
              <w:jc w:val="left"/>
            </w:pPr>
            <w:r>
              <w:t xml:space="preserve">4.8</w:t>
            </w:r>
          </w:p>
        </w:tc>
        <w:tc>
          <w:tcPr/>
          <w:p>
            <w:pPr>
              <w:pStyle w:val="Compact"/>
              <w:jc w:val="left"/>
            </w:pPr>
            <w:r>
              <w:t xml:space="preserve">Statutory Social Insurance &amp; Housing Fund (employer portion)</w:t>
            </w:r>
          </w:p>
        </w:tc>
        <w:tc>
          <w:tcPr/>
          <w:p>
            <w:pPr>
              <w:pStyle w:val="Compact"/>
              <w:jc w:val="left"/>
            </w:pPr>
            <w:r>
              <w:t xml:space="preserve">52,000.00</w:t>
            </w:r>
          </w:p>
        </w:tc>
      </w:tr>
      <w:tr>
        <w:tc>
          <w:tcPr/>
          <w:p>
            <w:pPr>
              <w:pStyle w:val="Compact"/>
              <w:jc w:val="left"/>
            </w:pPr>
            <w:r>
              <w:t xml:space="preserve">4.9</w:t>
            </w:r>
          </w:p>
        </w:tc>
        <w:tc>
          <w:tcPr/>
          <w:p>
            <w:pPr>
              <w:pStyle w:val="Compact"/>
              <w:jc w:val="left"/>
            </w:pPr>
            <w:r>
              <w:t xml:space="preserve">Annual Health Insurance Supplement (Guangzhou provider)</w:t>
            </w:r>
          </w:p>
        </w:tc>
        <w:tc>
          <w:tcPr/>
          <w:p>
            <w:pPr>
              <w:pStyle w:val="Compact"/>
              <w:jc w:val="left"/>
            </w:pPr>
            <w:r>
              <w:t xml:space="preserve">18,000.00</w:t>
            </w:r>
          </w:p>
        </w:tc>
      </w:tr>
      <w:tr>
        <w:tc>
          <w:tcPr/>
          <w:p>
            <w:pPr>
              <w:pStyle w:val="Compact"/>
              <w:jc w:val="left"/>
            </w:pPr>
            <w:r>
              <w:t xml:space="preserve">4.10</w:t>
            </w:r>
          </w:p>
        </w:tc>
        <w:tc>
          <w:tcPr/>
          <w:p>
            <w:pPr>
              <w:pStyle w:val="Compact"/>
              <w:jc w:val="left"/>
            </w:pPr>
            <w:r>
              <w:t xml:space="preserve">Transportation &amp; Local Travel Allowance (annual)</w:t>
            </w:r>
          </w:p>
        </w:tc>
        <w:tc>
          <w:tcPr/>
          <w:p>
            <w:pPr>
              <w:pStyle w:val="Compact"/>
              <w:jc w:val="left"/>
            </w:pPr>
            <w:r>
              <w:t xml:space="preserve">24,000.00</w:t>
            </w:r>
          </w:p>
        </w:tc>
      </w:tr>
      <w:tr>
        <w:tc>
          <w:tcPr/>
          <w:p>
            <w:pPr>
              <w:pStyle w:val="Compact"/>
              <w:jc w:val="left"/>
            </w:pPr>
            <w:r>
              <w:t xml:space="preserve">4.11</w:t>
            </w:r>
          </w:p>
        </w:tc>
        <w:tc>
          <w:tcPr/>
          <w:p>
            <w:pPr>
              <w:pStyle w:val="Compact"/>
              <w:jc w:val="left"/>
            </w:pPr>
            <w:r>
              <w:t xml:space="preserve">Communication &amp; Connectivity Stipend (annual)</w:t>
            </w:r>
          </w:p>
        </w:tc>
        <w:tc>
          <w:tcPr/>
          <w:p>
            <w:pPr>
              <w:pStyle w:val="Compact"/>
              <w:jc w:val="left"/>
            </w:pPr>
            <w:r>
              <w:t xml:space="preserve">6,000.00</w:t>
            </w:r>
          </w:p>
        </w:tc>
      </w:tr>
      <w:tr>
        <w:tc>
          <w:tcPr/>
          <w:p>
            <w:pPr>
              <w:pStyle w:val="Compact"/>
              <w:jc w:val="left"/>
            </w:pPr>
            <w:r>
              <w:t xml:space="preserve">4.12</w:t>
            </w:r>
          </w:p>
        </w:tc>
        <w:tc>
          <w:tcPr/>
          <w:p>
            <w:pPr>
              <w:pStyle w:val="Compact"/>
              <w:jc w:val="left"/>
            </w:pPr>
            <w:r>
              <w:t xml:space="preserve">Professional Development &amp; Training Budget</w:t>
            </w:r>
          </w:p>
        </w:tc>
        <w:tc>
          <w:tcPr/>
          <w:p>
            <w:pPr>
              <w:pStyle w:val="Compact"/>
              <w:jc w:val="left"/>
            </w:pPr>
            <w:r>
              <w:t xml:space="preserve">10,000.00</w:t>
            </w:r>
          </w:p>
        </w:tc>
      </w:tr>
      <w:tr>
        <w:tc>
          <w:tcPr/>
          <w:p>
            <w:pPr>
              <w:pStyle w:val="Compact"/>
              <w:jc w:val="left"/>
            </w:pPr>
            <w:r>
              <w:t xml:space="preserve">4.13</w:t>
            </w:r>
          </w:p>
        </w:tc>
        <w:tc>
          <w:tcPr/>
          <w:p>
            <w:pPr>
              <w:pStyle w:val="Compact"/>
              <w:jc w:val="left"/>
            </w:pPr>
            <w:r>
              <w:t xml:space="preserve">Office Equipment &amp; Software Licenses (laptop, CRM access)</w:t>
            </w:r>
          </w:p>
        </w:tc>
        <w:tc>
          <w:tcPr/>
          <w:p>
            <w:pPr>
              <w:pStyle w:val="Compact"/>
              <w:jc w:val="left"/>
            </w:pPr>
            <w:r>
              <w:t xml:space="preserve">15,000.00</w:t>
            </w:r>
          </w:p>
        </w:tc>
      </w:tr>
      <w:tr>
        <w:tc>
          <w:tcPr/>
          <w:p>
            <w:pPr>
              <w:pStyle w:val="Compact"/>
              <w:jc w:val="left"/>
            </w:pPr>
            <w:r>
              <w:t xml:space="preserve">4.14</w:t>
            </w:r>
          </w:p>
        </w:tc>
        <w:tc>
          <w:tcPr/>
          <w:p>
            <w:pPr>
              <w:pStyle w:val="Compact"/>
              <w:jc w:val="left"/>
            </w:pPr>
            <w:r>
              <w:t xml:space="preserve">Client Entertainment &amp; Business Dining Budget (annual)</w:t>
            </w:r>
          </w:p>
        </w:tc>
        <w:tc>
          <w:tcPr/>
          <w:p>
            <w:pPr>
              <w:pStyle w:val="Compact"/>
              <w:jc w:val="left"/>
            </w:pPr>
            <w:r>
              <w:t xml:space="preserve">20,000.00</w:t>
            </w:r>
          </w:p>
        </w:tc>
      </w:tr>
      <w:tr>
        <w:tc>
          <w:tcPr/>
          <w:p>
            <w:pPr>
              <w:pStyle w:val="Compact"/>
              <w:jc w:val="left"/>
            </w:pPr>
            <w:r>
              <w:t xml:space="preserve">4.15</w:t>
            </w:r>
          </w:p>
        </w:tc>
        <w:tc>
          <w:tcPr/>
          <w:p>
            <w:pPr>
              <w:pStyle w:val="Compact"/>
              <w:jc w:val="left"/>
            </w:pPr>
            <w:r>
              <w:t xml:space="preserve">Contingency Reserve (5% of subtotal)</w:t>
            </w:r>
          </w:p>
        </w:tc>
        <w:tc>
          <w:tcPr/>
          <w:p>
            <w:pPr>
              <w:pStyle w:val="Compact"/>
              <w:jc w:val="left"/>
            </w:pPr>
            <w:r>
              <w:t xml:space="preserve">24,385.00</w:t>
            </w:r>
          </w:p>
        </w:tc>
      </w:tr>
      <w:tr>
        <w:tc>
          <w:tcPr>
            <w:gridSpan w:val="2"/>
          </w:tcPr>
          <w:p>
            <w:pPr>
              <w:pStyle w:val="Compact"/>
              <w:jc w:val="left"/>
            </w:pPr>
            <w:r>
              <w:t xml:space="preserve">TOTAL ESTIMATED ANNUAL COST</w:t>
            </w:r>
          </w:p>
        </w:tc>
        <w:tc>
          <w:tcPr/>
          <w:p>
            <w:pPr>
              <w:pStyle w:val="Compact"/>
              <w:jc w:val="left"/>
            </w:pPr>
            <w:r>
              <w:t xml:space="preserve">550,685.00</w:t>
            </w:r>
          </w:p>
        </w:tc>
      </w:tr>
    </w:tbl>
    <w:p>
      <w:pPr>
        <w:pStyle w:val="BodyText"/>
      </w:pPr>
      <w:r>
        <w:rPr>
          <w:bCs/>
          <w:b/>
        </w:rPr>
        <w:t xml:space="preserve">Note:</w:t>
      </w:r>
      <w:r>
        <w:t xml:space="preserve"> </w:t>
      </w:r>
      <w:r>
        <w:t xml:space="preserve">The total estimated annual cost of CNY 550,685.00 reflects the full first-year expenditure for the Sales Executive engagement in China Guangzhou. The recruitment, sourcing, and onboarding fees (Items 4.1 through 4.5) are one-time costs. All subsequent items represent recurring annual expenses. Commission figures (Item 4.7) are estimates based on projected sales targets and may vary depending on actual performance.</w:t>
      </w:r>
    </w:p>
    <w:bookmarkEnd w:id="24"/>
    <w:bookmarkStart w:id="25" w:name="X985eb999f0cfcda5f1af1a675bf0b7c2e0a6c64"/>
    <w:p>
      <w:pPr>
        <w:pStyle w:val="Heading2"/>
      </w:pPr>
      <w:r>
        <w:t xml:space="preserve">5. Terms and Conditions of This Quotation Estimate</w:t>
      </w:r>
    </w:p>
    <w:p>
      <w:pPr>
        <w:numPr>
          <w:ilvl w:val="0"/>
          <w:numId w:val="1003"/>
        </w:numPr>
        <w:pStyle w:val="Compact"/>
      </w:pPr>
      <w:r>
        <w:t xml:space="preserve">This Quotation Estimate is valid for thirty (30) calendar days from the date of issue. Beyond this period, all pricing is subject to re-evaluation based on prevailing labor market conditions in Guangzhou.</w:t>
      </w:r>
    </w:p>
    <w:p>
      <w:pPr>
        <w:numPr>
          <w:ilvl w:val="0"/>
          <w:numId w:val="1003"/>
        </w:numPr>
        <w:pStyle w:val="Compact"/>
      </w:pPr>
      <w:r>
        <w:t xml:space="preserve">All monetary values are denominated in Chinese Yuan (CNY). Any cross-border payments will be subject to applicable foreign exchange rates at the time of transaction.</w:t>
      </w:r>
    </w:p>
    <w:p>
      <w:pPr>
        <w:numPr>
          <w:ilvl w:val="0"/>
          <w:numId w:val="1003"/>
        </w:numPr>
        <w:pStyle w:val="Compact"/>
      </w:pPr>
      <w:r>
        <w:t xml:space="preserve">The Sales Executive engagement is governed by the Labor Contract Law of the People's Republic of China and all applicable municipal regulations of Guangzhou Municipality.</w:t>
      </w:r>
    </w:p>
    <w:p>
      <w:pPr>
        <w:numPr>
          <w:ilvl w:val="0"/>
          <w:numId w:val="1003"/>
        </w:numPr>
        <w:pStyle w:val="Compact"/>
      </w:pPr>
      <w:r>
        <w:t xml:space="preserve">Probationary period shall be three (3) months from the date of commencement of employment, in accordance with standard practice in China Guangzhou.</w:t>
      </w:r>
    </w:p>
    <w:p>
      <w:pPr>
        <w:numPr>
          <w:ilvl w:val="0"/>
          <w:numId w:val="1003"/>
        </w:numPr>
        <w:pStyle w:val="Compact"/>
      </w:pPr>
      <w:r>
        <w:t xml:space="preserve">Either party may terminate the engagement with thirty (30) days' written notice after the probationary period, or in accordance with the terms of the definitive employment contract.</w:t>
      </w:r>
    </w:p>
    <w:p>
      <w:pPr>
        <w:numPr>
          <w:ilvl w:val="0"/>
          <w:numId w:val="1003"/>
        </w:numPr>
        <w:pStyle w:val="Compact"/>
      </w:pPr>
      <w:r>
        <w:t xml:space="preserve">All intellectual property, client data, and trade secrets developed or accessed by the Sales Executive during the course of employment in Guangzhou shall remain the exclusive property of the employing entity.</w:t>
      </w:r>
    </w:p>
    <w:p>
      <w:pPr>
        <w:numPr>
          <w:ilvl w:val="0"/>
          <w:numId w:val="1003"/>
        </w:numPr>
        <w:pStyle w:val="Compact"/>
      </w:pPr>
      <w:r>
        <w:t xml:space="preserve">This Quotation Estimate does not constitute a guarantee of employment. Final hiring is contingent upon successful completion of all screening, verification, and interview processes.</w:t>
      </w:r>
    </w:p>
    <w:p>
      <w:pPr>
        <w:numPr>
          <w:ilvl w:val="0"/>
          <w:numId w:val="1003"/>
        </w:numPr>
        <w:pStyle w:val="Compact"/>
      </w:pPr>
      <w:r>
        <w:t xml:space="preserve">Any disputes arising from the interpretation or execution of this Quotation Estimate shall be resolved through amicable negotiation, failing which they shall be submitted to the arbitration commission in Guangzhou, Guangdong Province.</w:t>
      </w:r>
    </w:p>
    <w:bookmarkEnd w:id="25"/>
    <w:bookmarkStart w:id="26" w:name="acceptance-and-authorization"/>
    <w:p>
      <w:pPr>
        <w:pStyle w:val="Heading2"/>
      </w:pPr>
      <w:r>
        <w:t xml:space="preserve">6. Acceptance and Authorization</w:t>
      </w:r>
    </w:p>
    <w:p>
      <w:pPr>
        <w:pStyle w:val="FirstParagraph"/>
      </w:pPr>
      <w:r>
        <w:t xml:space="preserve">By signing below, the authorized representative of the client acknowledges receipt of this Quotation Estimate for the Sales Executive position in China Guangzhou and confirms that the terms, conditions, and cost breakdown presented herein have been reviewed and understood. This signature does not constitute a final commitment to hire but serves as an expression of intent to proceed with the recruitment process under the parameters outlined in this document.</w:t>
      </w:r>
    </w:p>
    <w:p>
      <w:pPr>
        <w:pStyle w:val="BodyText"/>
      </w:pPr>
      <w:r>
        <w:rPr>
          <w:bCs/>
          <w:b/>
        </w:rPr>
        <w:t xml:space="preserve">For and on behalf of the Client:</w:t>
      </w:r>
    </w:p>
    <w:p>
      <w:pPr>
        <w:pStyle w:val="BodyText"/>
      </w:pPr>
      <w:r>
        <w:t xml:space="preserve">Guangzhou International Trade Development Co., Ltd.</w:t>
      </w:r>
    </w:p>
    <w:p>
      <w:pPr>
        <w:pStyle w:val="BodyText"/>
      </w:pP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rPr>
          <w:bCs/>
          <w:b/>
        </w:rPr>
        <w:t xml:space="preserve">For and on behalf of the Provider:</w:t>
      </w:r>
    </w:p>
    <w:p>
      <w:pPr>
        <w:pStyle w:val="BodyText"/>
      </w:pPr>
      <w:r>
        <w:t xml:space="preserve">Pacific Bridge Consulting Ltd.</w:t>
      </w:r>
    </w:p>
    <w:p>
      <w:pPr>
        <w:pStyle w:val="BodyText"/>
      </w:pP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t xml:space="preserve">Document Reference: QE-GZ-2025-0047 | Quotation Estimate for Sales Executive Engagement | China Guangzhou</w:t>
      </w:r>
    </w:p>
    <w:p>
      <w:pPr>
        <w:pStyle w:val="BodyText"/>
      </w:pPr>
      <w:r>
        <w:t xml:space="preserve">Pacific Bridge Consulting Ltd. | 88 Tianhe Road, Tianhe District, Guangzhou, Guangdong, China | Tel: +86-20-XXXX-XXXX</w:t>
      </w:r>
    </w:p>
    <w:p>
      <w:pPr>
        <w:pStyle w:val="BodyText"/>
      </w:pPr>
      <w:r>
        <w:t xml:space="preserve">This document is confidential and intended solely for the named recipient.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China Guangzhou</dc:title>
  <dc:creator/>
  <dc:language>en</dc:language>
  <cp:keywords/>
  <dcterms:created xsi:type="dcterms:W3CDTF">2026-10-10T06:23:34Z</dcterms:created>
  <dcterms:modified xsi:type="dcterms:W3CDTF">2026-10-10T06:23:34Z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