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Sales</w:t>
      </w:r>
      <w:r>
        <w:t xml:space="preserve"> </w:t>
      </w:r>
      <w:r>
        <w:t xml:space="preserve">Executive</w:t>
      </w:r>
      <w:r>
        <w:t xml:space="preserve"> </w:t>
      </w:r>
      <w:r>
        <w:t xml:space="preserve">-</w:t>
      </w:r>
      <w:r>
        <w:t xml:space="preserve"> </w:t>
      </w:r>
      <w:r>
        <w:t xml:space="preserve">Egypt</w:t>
      </w:r>
      <w:r>
        <w:t xml:space="preserve"> </w:t>
      </w:r>
      <w:r>
        <w:t xml:space="preserve">Cairo</w:t>
      </w:r>
    </w:p>
    <w:bookmarkStart w:id="20" w:name="quotation-estimate"/>
    <w:p>
      <w:pPr>
        <w:pStyle w:val="Heading1"/>
      </w:pPr>
      <w:r>
        <w:t xml:space="preserve">QUOTATION ESTIMATE</w:t>
      </w:r>
    </w:p>
    <w:p>
      <w:pPr>
        <w:pStyle w:val="FirstParagraph"/>
      </w:pPr>
      <w:r>
        <w:t xml:space="preserve">REF: QE-EGY-CAI-2025-0472</w:t>
      </w:r>
    </w:p>
    <w:p>
      <w:pPr>
        <w:pStyle w:val="BodyText"/>
      </w:pPr>
      <w:r>
        <w:t xml:space="preserve">Professional Recruitment &amp; Staffing Services</w:t>
      </w:r>
    </w:p>
    <w:p>
      <w:pPr>
        <w:pStyle w:val="BodyText"/>
      </w:pPr>
      <w:r>
        <w:t xml:space="preserve">12th of Ramadan Street, Nasr City,</w:t>
      </w:r>
      <w:r>
        <w:t xml:space="preserve"> </w:t>
      </w:r>
      <w:r>
        <w:rPr>
          <w:bCs/>
          <w:b/>
        </w:rPr>
        <w:t xml:space="preserve">Egypt Cairo</w:t>
      </w:r>
      <w:r>
        <w:t xml:space="preserve">, P.O. Box 4521</w:t>
      </w:r>
    </w:p>
    <w:p>
      <w:pPr>
        <w:pStyle w:val="BodyText"/>
      </w:pPr>
      <w:r>
        <w:t xml:space="preserve">Tel: +20 2 2517 8890 | Email: quotations@staffingcairo.com.eg</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Prepared By:</w:t>
      </w:r>
      <w:r>
        <w:t xml:space="preserve"> </w:t>
      </w:r>
      <w:r>
        <w:t xml:space="preserve">Ms. Nour El-Sayed, Senior Account Manager</w:t>
      </w:r>
    </w:p>
    <w:p>
      <w:pPr>
        <w:pStyle w:val="BodyText"/>
      </w:pPr>
      <w:r>
        <w:rPr>
          <w:bCs/>
          <w:b/>
        </w:rPr>
        <w:t xml:space="preserve">Client:</w:t>
      </w:r>
      <w:r>
        <w:t xml:space="preserve"> </w:t>
      </w:r>
      <w:r>
        <w:t xml:space="preserve">[Client Company Name]</w:t>
      </w:r>
      <w:r>
        <w:br/>
      </w:r>
      <w:r>
        <w:rPr>
          <w:bCs/>
          <w:b/>
        </w:rPr>
        <w:t xml:space="preserve">Client Address:</w:t>
      </w:r>
      <w:r>
        <w:t xml:space="preserve"> </w:t>
      </w:r>
      <w:r>
        <w:t xml:space="preserve">New Cairo,</w:t>
      </w:r>
      <w:r>
        <w:t xml:space="preserve"> </w:t>
      </w:r>
      <w:r>
        <w:rPr>
          <w:bCs/>
          <w:b/>
        </w:rPr>
        <w:t xml:space="preserve">Egypt Cairo</w:t>
      </w:r>
      <w:r>
        <w:br/>
      </w:r>
      <w:r>
        <w:rPr>
          <w:bCs/>
          <w:b/>
        </w:rPr>
        <w:t xml:space="preserve">Attn:</w:t>
      </w:r>
      <w:r>
        <w:t xml:space="preserve"> </w:t>
      </w:r>
      <w:r>
        <w:t xml:space="preserve">HR Director</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in response to the formal request submitted by the client for the recruitment, onboarding, and first-year engagement of a qualified</w:t>
      </w:r>
      <w:r>
        <w:t xml:space="preserve"> </w:t>
      </w:r>
      <w:r>
        <w:t xml:space="preserve">Sales Executive</w:t>
      </w:r>
      <w:r>
        <w:t xml:space="preserve"> </w:t>
      </w:r>
      <w:r>
        <w:t xml:space="preserve">to be based and operational in</w:t>
      </w:r>
      <w:r>
        <w:t xml:space="preserve"> </w:t>
      </w:r>
      <w:r>
        <w:t xml:space="preserve">Egypt Cairo</w:t>
      </w:r>
      <w:r>
        <w:t xml:space="preserve">. The purpose of this document is to provide a comprehensive, itemized breakdown of all professional fees, statutory obligations, and ancillary costs associated with securing a high-performing</w:t>
      </w:r>
      <w:r>
        <w:t xml:space="preserve"> </w:t>
      </w:r>
      <w:r>
        <w:t xml:space="preserve">Sales Executive</w:t>
      </w:r>
      <w:r>
        <w:t xml:space="preserve"> </w:t>
      </w:r>
      <w:r>
        <w:t xml:space="preserve">for the client's Cairo-based sales division. All figures presented herein are quoted in Egyptian Pounds (EGP) unless otherwise stated and reflect current market rates as of the date of issue.</w:t>
      </w:r>
    </w:p>
    <w:bookmarkEnd w:id="21"/>
    <w:bookmarkStart w:id="22" w:name="X705cee0f91150bba3bf17659aef5ce9ba0c4a19"/>
    <w:p>
      <w:pPr>
        <w:pStyle w:val="Heading2"/>
      </w:pPr>
      <w:r>
        <w:t xml:space="preserve">2. Position Overview – Sales Executive, Egypt Cairo</w:t>
      </w:r>
    </w:p>
    <w:p>
      <w:pPr>
        <w:pStyle w:val="FirstParagraph"/>
      </w:pPr>
      <w:r>
        <w:t xml:space="preserve">The</w:t>
      </w:r>
      <w:r>
        <w:t xml:space="preserve"> </w:t>
      </w:r>
      <w:r>
        <w:t xml:space="preserve">Sales Executive</w:t>
      </w:r>
      <w:r>
        <w:t xml:space="preserve"> </w:t>
      </w:r>
      <w:r>
        <w:t xml:space="preserve">role described in this</w:t>
      </w:r>
      <w:r>
        <w:t xml:space="preserve"> </w:t>
      </w:r>
      <w:r>
        <w:t xml:space="preserve">Quotation Estimate</w:t>
      </w:r>
      <w:r>
        <w:t xml:space="preserve"> </w:t>
      </w:r>
      <w:r>
        <w:t xml:space="preserve">entails full responsibility for driving revenue growth across the client's product portfolio within the Greater Cairo metropolitan area, including but not limited to Nasr City, Heliopolis, Maadi, and the New Administrative Capital corridor. The successful candidate will manage a portfolio of key accounts, conduct field visits, negotiate contracts, and report directly to the Regional Sales Manager stationed in</w:t>
      </w:r>
      <w:r>
        <w:t xml:space="preserve"> </w:t>
      </w:r>
      <w:r>
        <w:t xml:space="preserve">Egypt Cairo</w:t>
      </w:r>
      <w:r>
        <w:t xml:space="preserve">. The position requires a minimum of five (5) years of proven B2B or B2C sales experience in the Egyptian market, fluency in both Arabic and English, and a valid Egyptian work permit or citizenship.</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 / Cost Item</w:t>
            </w:r>
          </w:p>
        </w:tc>
        <w:tc>
          <w:tcPr/>
          <w:p>
            <w:pPr>
              <w:pStyle w:val="Compact"/>
              <w:jc w:val="left"/>
            </w:pPr>
            <w:r>
              <w:t xml:space="preserve">Unit</w:t>
            </w:r>
          </w:p>
        </w:tc>
        <w:tc>
          <w:tcPr/>
          <w:p>
            <w:pPr>
              <w:pStyle w:val="Compact"/>
              <w:jc w:val="left"/>
            </w:pPr>
            <w:r>
              <w:t xml:space="preserve">Amount (EGP)</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Recruitment &amp; Sourcing Fee –</w:t>
            </w:r>
            <w:r>
              <w:t xml:space="preserve"> </w:t>
            </w:r>
            <w:r>
              <w:t xml:space="preserve">Sales Executive</w:t>
            </w:r>
            <w:r>
              <w:t xml:space="preserve"> </w:t>
            </w:r>
            <w:r>
              <w:t xml:space="preserve">(Egypt Cairo market)</w:t>
            </w:r>
          </w:p>
        </w:tc>
        <w:tc>
          <w:tcPr/>
          <w:p>
            <w:pPr>
              <w:pStyle w:val="Compact"/>
              <w:jc w:val="left"/>
            </w:pPr>
            <w:r>
              <w:t xml:space="preserve">One-time</w:t>
            </w:r>
          </w:p>
        </w:tc>
        <w:tc>
          <w:tcPr/>
          <w:p>
            <w:pPr>
              <w:pStyle w:val="Compact"/>
              <w:jc w:val="left"/>
            </w:pPr>
            <w:r>
              <w:t xml:space="preserve">45,000.00</w:t>
            </w:r>
          </w:p>
        </w:tc>
        <w:tc>
          <w:tcPr/>
          <w:p>
            <w:pPr>
              <w:pStyle w:val="Compact"/>
              <w:jc w:val="left"/>
            </w:pPr>
            <w:r>
              <w:t xml:space="preserve">Includes job posting, screening, and shortlisting</w:t>
            </w:r>
          </w:p>
        </w:tc>
      </w:tr>
      <w:tr>
        <w:tc>
          <w:tcPr/>
          <w:p>
            <w:pPr>
              <w:pStyle w:val="Compact"/>
              <w:jc w:val="left"/>
            </w:pPr>
            <w:r>
              <w:t xml:space="preserve">2</w:t>
            </w:r>
          </w:p>
        </w:tc>
        <w:tc>
          <w:tcPr/>
          <w:p>
            <w:pPr>
              <w:pStyle w:val="Compact"/>
              <w:jc w:val="left"/>
            </w:pPr>
            <w:r>
              <w:t xml:space="preserve">Assessment &amp; Interview Coordination (3 rounds)</w:t>
            </w:r>
          </w:p>
        </w:tc>
        <w:tc>
          <w:tcPr/>
          <w:p>
            <w:pPr>
              <w:pStyle w:val="Compact"/>
              <w:jc w:val="left"/>
            </w:pPr>
            <w:r>
              <w:t xml:space="preserve">Per candidate</w:t>
            </w:r>
          </w:p>
        </w:tc>
        <w:tc>
          <w:tcPr/>
          <w:p>
            <w:pPr>
              <w:pStyle w:val="Compact"/>
              <w:jc w:val="left"/>
            </w:pPr>
            <w:r>
              <w:t xml:space="preserve">12,500.00</w:t>
            </w:r>
          </w:p>
        </w:tc>
        <w:tc>
          <w:tcPr/>
          <w:p>
            <w:pPr>
              <w:pStyle w:val="Compact"/>
              <w:jc w:val="left"/>
            </w:pPr>
            <w:r>
              <w:t xml:space="preserve">Psychometric, technical, and cultural fit</w:t>
            </w:r>
          </w:p>
        </w:tc>
      </w:tr>
      <w:tr>
        <w:tc>
          <w:tcPr/>
          <w:p>
            <w:pPr>
              <w:pStyle w:val="Compact"/>
              <w:jc w:val="left"/>
            </w:pPr>
            <w:r>
              <w:t xml:space="preserve">3</w:t>
            </w:r>
          </w:p>
        </w:tc>
        <w:tc>
          <w:tcPr/>
          <w:p>
            <w:pPr>
              <w:pStyle w:val="Compact"/>
              <w:jc w:val="left"/>
            </w:pPr>
            <w:r>
              <w:t xml:space="preserve">Background Verification &amp; Reference Checks</w:t>
            </w:r>
          </w:p>
        </w:tc>
        <w:tc>
          <w:tcPr/>
          <w:p>
            <w:pPr>
              <w:pStyle w:val="Compact"/>
              <w:jc w:val="left"/>
            </w:pPr>
            <w:r>
              <w:t xml:space="preserve">One-time</w:t>
            </w:r>
          </w:p>
        </w:tc>
        <w:tc>
          <w:tcPr/>
          <w:p>
            <w:pPr>
              <w:pStyle w:val="Compact"/>
              <w:jc w:val="left"/>
            </w:pPr>
            <w:r>
              <w:t xml:space="preserve">7,800.00</w:t>
            </w:r>
          </w:p>
        </w:tc>
        <w:tc>
          <w:tcPr/>
          <w:p>
            <w:pPr>
              <w:pStyle w:val="Compact"/>
              <w:jc w:val="left"/>
            </w:pPr>
            <w:r>
              <w:t xml:space="preserve">Criminal record, employment history</w:t>
            </w:r>
          </w:p>
        </w:tc>
      </w:tr>
      <w:tr>
        <w:tc>
          <w:tcPr/>
          <w:p>
            <w:pPr>
              <w:pStyle w:val="Compact"/>
              <w:jc w:val="left"/>
            </w:pPr>
            <w:r>
              <w:t xml:space="preserve">4</w:t>
            </w:r>
          </w:p>
        </w:tc>
        <w:tc>
          <w:tcPr/>
          <w:p>
            <w:pPr>
              <w:pStyle w:val="Compact"/>
              <w:jc w:val="left"/>
            </w:pPr>
            <w:r>
              <w:t xml:space="preserve">Work Permit / Residency Visa Processing (if applicable)</w:t>
            </w:r>
          </w:p>
        </w:tc>
        <w:tc>
          <w:tcPr/>
          <w:p>
            <w:pPr>
              <w:pStyle w:val="Compact"/>
              <w:jc w:val="left"/>
            </w:pPr>
            <w:r>
              <w:t xml:space="preserve">One-time</w:t>
            </w:r>
          </w:p>
        </w:tc>
        <w:tc>
          <w:tcPr/>
          <w:p>
            <w:pPr>
              <w:pStyle w:val="Compact"/>
              <w:jc w:val="left"/>
            </w:pPr>
            <w:r>
              <w:t xml:space="preserve">18,000.00</w:t>
            </w:r>
          </w:p>
        </w:tc>
        <w:tc>
          <w:tcPr/>
          <w:p>
            <w:pPr>
              <w:pStyle w:val="Compact"/>
              <w:jc w:val="left"/>
            </w:pPr>
            <w:r>
              <w:t xml:space="preserve">Ministry of Manpower, Cairo office</w:t>
            </w:r>
          </w:p>
        </w:tc>
      </w:tr>
      <w:tr>
        <w:tc>
          <w:tcPr/>
          <w:p>
            <w:pPr>
              <w:pStyle w:val="Compact"/>
              <w:jc w:val="left"/>
            </w:pPr>
            <w:r>
              <w:t xml:space="preserve">5</w:t>
            </w:r>
          </w:p>
        </w:tc>
        <w:tc>
          <w:tcPr/>
          <w:p>
            <w:pPr>
              <w:pStyle w:val="Compact"/>
              <w:jc w:val="left"/>
            </w:pPr>
            <w:r>
              <w:t xml:space="preserve">Onboarding &amp; Orientation Program –</w:t>
            </w:r>
            <w:r>
              <w:t xml:space="preserve"> </w:t>
            </w:r>
            <w:r>
              <w:t xml:space="preserve">Sales Executive</w:t>
            </w:r>
          </w:p>
        </w:tc>
        <w:tc>
          <w:tcPr/>
          <w:p>
            <w:pPr>
              <w:pStyle w:val="Compact"/>
              <w:jc w:val="left"/>
            </w:pPr>
            <w:r>
              <w:t xml:space="preserve">5 days</w:t>
            </w:r>
          </w:p>
        </w:tc>
        <w:tc>
          <w:tcPr/>
          <w:p>
            <w:pPr>
              <w:pStyle w:val="Compact"/>
              <w:jc w:val="left"/>
            </w:pPr>
            <w:r>
              <w:t xml:space="preserve">15,000.00</w:t>
            </w:r>
          </w:p>
        </w:tc>
        <w:tc>
          <w:tcPr/>
          <w:p>
            <w:pPr>
              <w:pStyle w:val="Compact"/>
              <w:jc w:val="left"/>
            </w:pPr>
            <w:r>
              <w:t xml:space="preserve">Product training, CRM setup, local market briefing</w:t>
            </w:r>
          </w:p>
        </w:tc>
      </w:tr>
      <w:tr>
        <w:tc>
          <w:tcPr/>
          <w:p>
            <w:pPr>
              <w:pStyle w:val="Compact"/>
              <w:jc w:val="left"/>
            </w:pPr>
            <w:r>
              <w:t xml:space="preserve">6</w:t>
            </w:r>
          </w:p>
        </w:tc>
        <w:tc>
          <w:tcPr/>
          <w:p>
            <w:pPr>
              <w:pStyle w:val="Compact"/>
              <w:jc w:val="left"/>
            </w:pPr>
            <w:r>
              <w:t xml:space="preserve">First-Year Salary Administration &amp; Payroll Management</w:t>
            </w:r>
          </w:p>
        </w:tc>
        <w:tc>
          <w:tcPr/>
          <w:p>
            <w:pPr>
              <w:pStyle w:val="Compact"/>
              <w:jc w:val="left"/>
            </w:pPr>
            <w:r>
              <w:t xml:space="preserve">12 months</w:t>
            </w:r>
          </w:p>
        </w:tc>
        <w:tc>
          <w:tcPr/>
          <w:p>
            <w:pPr>
              <w:pStyle w:val="Compact"/>
              <w:jc w:val="left"/>
            </w:pPr>
            <w:r>
              <w:t xml:space="preserve">360,000.00</w:t>
            </w:r>
          </w:p>
        </w:tc>
        <w:tc>
          <w:tcPr/>
          <w:p>
            <w:pPr>
              <w:pStyle w:val="Compact"/>
              <w:jc w:val="left"/>
            </w:pPr>
            <w:r>
              <w:t xml:space="preserve">Monthly salary of EGP 30,000 + 13th month bonus</w:t>
            </w:r>
          </w:p>
        </w:tc>
      </w:tr>
      <w:tr>
        <w:tc>
          <w:tcPr/>
          <w:p>
            <w:pPr>
              <w:pStyle w:val="Compact"/>
              <w:jc w:val="left"/>
            </w:pPr>
            <w:r>
              <w:t xml:space="preserve">7</w:t>
            </w:r>
          </w:p>
        </w:tc>
        <w:tc>
          <w:tcPr/>
          <w:p>
            <w:pPr>
              <w:pStyle w:val="Compact"/>
              <w:jc w:val="left"/>
            </w:pPr>
            <w:r>
              <w:t xml:space="preserve">Statutory Social Insurance &amp; Tax Withholding (Egypt)</w:t>
            </w:r>
          </w:p>
        </w:tc>
        <w:tc>
          <w:tcPr/>
          <w:p>
            <w:pPr>
              <w:pStyle w:val="Compact"/>
              <w:jc w:val="left"/>
            </w:pPr>
            <w:r>
              <w:t xml:space="preserve">12 months</w:t>
            </w:r>
          </w:p>
        </w:tc>
        <w:tc>
          <w:tcPr/>
          <w:p>
            <w:pPr>
              <w:pStyle w:val="Compact"/>
              <w:jc w:val="left"/>
            </w:pPr>
            <w:r>
              <w:t xml:space="preserve">54,000.00</w:t>
            </w:r>
          </w:p>
        </w:tc>
        <w:tc>
          <w:tcPr/>
          <w:p>
            <w:pPr>
              <w:pStyle w:val="Compact"/>
              <w:jc w:val="left"/>
            </w:pPr>
            <w:r>
              <w:t xml:space="preserve">SSA contributions, PIT per Egyptian law</w:t>
            </w:r>
          </w:p>
        </w:tc>
      </w:tr>
      <w:tr>
        <w:tc>
          <w:tcPr/>
          <w:p>
            <w:pPr>
              <w:pStyle w:val="Compact"/>
              <w:jc w:val="left"/>
            </w:pPr>
            <w:r>
              <w:t xml:space="preserve">8</w:t>
            </w:r>
          </w:p>
        </w:tc>
        <w:tc>
          <w:tcPr/>
          <w:p>
            <w:pPr>
              <w:pStyle w:val="Compact"/>
              <w:jc w:val="left"/>
            </w:pPr>
            <w:r>
              <w:t xml:space="preserve">Annual Health Insurance Coverage (Cairo provider)</w:t>
            </w:r>
          </w:p>
        </w:tc>
        <w:tc>
          <w:tcPr/>
          <w:p>
            <w:pPr>
              <w:pStyle w:val="Compact"/>
              <w:jc w:val="left"/>
            </w:pPr>
            <w:r>
              <w:t xml:space="preserve">12 months</w:t>
            </w:r>
          </w:p>
        </w:tc>
        <w:tc>
          <w:tcPr/>
          <w:p>
            <w:pPr>
              <w:pStyle w:val="Compact"/>
              <w:jc w:val="left"/>
            </w:pPr>
            <w:r>
              <w:t xml:space="preserve">22,000.00</w:t>
            </w:r>
          </w:p>
        </w:tc>
        <w:tc>
          <w:tcPr/>
          <w:p>
            <w:pPr>
              <w:pStyle w:val="Compact"/>
              <w:jc w:val="left"/>
            </w:pPr>
            <w:r>
              <w:t xml:space="preserve">Comprehensive plan, Cairo hospital network</w:t>
            </w:r>
          </w:p>
        </w:tc>
      </w:tr>
      <w:tr>
        <w:tc>
          <w:tcPr/>
          <w:p>
            <w:pPr>
              <w:pStyle w:val="Compact"/>
              <w:jc w:val="left"/>
            </w:pPr>
            <w:r>
              <w:t xml:space="preserve">9</w:t>
            </w:r>
          </w:p>
        </w:tc>
        <w:tc>
          <w:tcPr/>
          <w:p>
            <w:pPr>
              <w:pStyle w:val="Compact"/>
              <w:jc w:val="left"/>
            </w:pPr>
            <w:r>
              <w:t xml:space="preserve">Sales Commission Structure Administration</w:t>
            </w:r>
          </w:p>
        </w:tc>
        <w:tc>
          <w:tcPr/>
          <w:p>
            <w:pPr>
              <w:pStyle w:val="Compact"/>
              <w:jc w:val="left"/>
            </w:pPr>
            <w:r>
              <w:t xml:space="preserve">12 months</w:t>
            </w:r>
          </w:p>
        </w:tc>
        <w:tc>
          <w:tcPr/>
          <w:p>
            <w:pPr>
              <w:pStyle w:val="Compact"/>
              <w:jc w:val="left"/>
            </w:pPr>
            <w:r>
              <w:t xml:space="preserve">30,000.00</w:t>
            </w:r>
          </w:p>
        </w:tc>
        <w:tc>
          <w:tcPr/>
          <w:p>
            <w:pPr>
              <w:pStyle w:val="Compact"/>
              <w:jc w:val="left"/>
            </w:pPr>
            <w:r>
              <w:t xml:space="preserve">Tracking, calculation, and disbursement</w:t>
            </w:r>
          </w:p>
        </w:tc>
      </w:tr>
      <w:tr>
        <w:tc>
          <w:tcPr/>
          <w:p>
            <w:pPr>
              <w:pStyle w:val="Compact"/>
              <w:jc w:val="left"/>
            </w:pPr>
            <w:r>
              <w:t xml:space="preserve">10</w:t>
            </w:r>
          </w:p>
        </w:tc>
        <w:tc>
          <w:tcPr/>
          <w:p>
            <w:pPr>
              <w:pStyle w:val="Compact"/>
              <w:jc w:val="left"/>
            </w:pPr>
            <w:r>
              <w:t xml:space="preserve">Performance Review &amp; KPI Monitoring (Quarterly)</w:t>
            </w:r>
          </w:p>
        </w:tc>
        <w:tc>
          <w:tcPr/>
          <w:p>
            <w:pPr>
              <w:pStyle w:val="Compact"/>
              <w:jc w:val="left"/>
            </w:pPr>
            <w:r>
              <w:t xml:space="preserve">4 cycles</w:t>
            </w:r>
          </w:p>
        </w:tc>
        <w:tc>
          <w:tcPr/>
          <w:p>
            <w:pPr>
              <w:pStyle w:val="Compact"/>
              <w:jc w:val="left"/>
            </w:pPr>
            <w:r>
              <w:t xml:space="preserve">16,000.00</w:t>
            </w:r>
          </w:p>
        </w:tc>
        <w:tc>
          <w:tcPr/>
          <w:p>
            <w:pPr>
              <w:pStyle w:val="Compact"/>
              <w:jc w:val="left"/>
            </w:pPr>
            <w:r>
              <w:t xml:space="preserve">Includes written reports to client</w:t>
            </w:r>
          </w:p>
        </w:tc>
      </w:tr>
      <w:tr>
        <w:tc>
          <w:tcPr/>
          <w:p>
            <w:pPr>
              <w:pStyle w:val="Compact"/>
              <w:jc w:val="left"/>
            </w:pPr>
            <w:r>
              <w:t xml:space="preserve">11</w:t>
            </w:r>
          </w:p>
        </w:tc>
        <w:tc>
          <w:tcPr/>
          <w:p>
            <w:pPr>
              <w:pStyle w:val="Compact"/>
              <w:jc w:val="left"/>
            </w:pPr>
            <w:r>
              <w:t xml:space="preserve">Replacement Guarantee (90-day period)</w:t>
            </w:r>
          </w:p>
        </w:tc>
        <w:tc>
          <w:tcPr/>
          <w:p>
            <w:pPr>
              <w:pStyle w:val="Compact"/>
              <w:jc w:val="left"/>
            </w:pPr>
            <w:r>
              <w:t xml:space="preserve">One-time</w:t>
            </w:r>
          </w:p>
        </w:tc>
        <w:tc>
          <w:tcPr/>
          <w:p>
            <w:pPr>
              <w:pStyle w:val="Compact"/>
              <w:jc w:val="left"/>
            </w:pPr>
            <w:r>
              <w:t xml:space="preserve">0.00</w:t>
            </w:r>
          </w:p>
        </w:tc>
        <w:tc>
          <w:tcPr/>
          <w:p>
            <w:pPr>
              <w:pStyle w:val="Compact"/>
              <w:jc w:val="left"/>
            </w:pPr>
            <w:r>
              <w:t xml:space="preserve">Complimentary re-sourcing if needed</w:t>
            </w:r>
          </w:p>
        </w:tc>
      </w:tr>
      <w:tr>
        <w:tc>
          <w:tcPr>
            <w:gridSpan w:val="3"/>
          </w:tcPr>
          <w:p>
            <w:pPr>
              <w:pStyle w:val="Compact"/>
              <w:jc w:val="left"/>
            </w:pPr>
            <w:r>
              <w:t xml:space="preserve">TOTAL QUOTATION ESTIMATE (EGP)</w:t>
            </w:r>
          </w:p>
        </w:tc>
        <w:tc>
          <w:tcPr/>
          <w:p>
            <w:pPr>
              <w:pStyle w:val="Compact"/>
              <w:jc w:val="left"/>
            </w:pPr>
            <w:r>
              <w:t xml:space="preserve">580,300.00</w:t>
            </w:r>
          </w:p>
        </w:tc>
        <w:tc>
          <w:tcPr/>
          <w:p>
            <w:pPr>
              <w:pStyle w:val="Compact"/>
              <w:jc w:val="left"/>
            </w:pPr>
            <w:r>
              <w:t xml:space="preserve">Excl. 14% VAT</w:t>
            </w:r>
          </w:p>
        </w:tc>
      </w:tr>
      <w:tr>
        <w:tc>
          <w:tcPr>
            <w:gridSpan w:val="3"/>
          </w:tcPr>
          <w:p>
            <w:pPr>
              <w:pStyle w:val="Compact"/>
              <w:jc w:val="left"/>
            </w:pPr>
            <w:r>
              <w:t xml:space="preserve">Value Added Tax (14%)</w:t>
            </w:r>
          </w:p>
        </w:tc>
        <w:tc>
          <w:tcPr/>
          <w:p>
            <w:pPr>
              <w:pStyle w:val="Compact"/>
              <w:jc w:val="left"/>
            </w:pPr>
            <w:r>
              <w:t xml:space="preserve">81,242.00</w:t>
            </w:r>
          </w:p>
        </w:tc>
        <w:tc>
          <w:tcPr/>
          <w:p>
            <w:pPr>
              <w:pStyle w:val="Compact"/>
              <w:jc w:val="left"/>
            </w:pPr>
            <w:r>
              <w:t xml:space="preserve">Per Egyptian Tax Authority</w:t>
            </w:r>
          </w:p>
        </w:tc>
      </w:tr>
      <w:tr>
        <w:tc>
          <w:tcPr>
            <w:gridSpan w:val="3"/>
          </w:tcPr>
          <w:p>
            <w:pPr>
              <w:pStyle w:val="Compact"/>
              <w:jc w:val="left"/>
            </w:pPr>
            <w:r>
              <w:t xml:space="preserve">GRAND TOTAL (EGP)</w:t>
            </w:r>
          </w:p>
        </w:tc>
        <w:tc>
          <w:tcPr/>
          <w:p>
            <w:pPr>
              <w:pStyle w:val="Compact"/>
              <w:jc w:val="left"/>
            </w:pPr>
            <w:r>
              <w:t xml:space="preserve">661,542.00</w:t>
            </w:r>
          </w:p>
        </w:tc>
        <w:tc>
          <w:tcPr/>
          <w:p>
            <w:pPr>
              <w:pStyle w:val="Compact"/>
              <w:jc w:val="left"/>
            </w:pPr>
            <w:r>
              <w:t xml:space="preserve">Approx. USD 13,520</w:t>
            </w:r>
          </w:p>
        </w:tc>
      </w:tr>
    </w:tbl>
    <w:bookmarkEnd w:id="23"/>
    <w:bookmarkStart w:id="24" w:name="X078810e5724ebd22b207a714bd8ae682207a7f8"/>
    <w:p>
      <w:pPr>
        <w:pStyle w:val="Heading2"/>
      </w:pPr>
      <w:r>
        <w:t xml:space="preserve">4. Scope of Services Included in This Quotation Estimate</w:t>
      </w:r>
    </w:p>
    <w:p>
      <w:pPr>
        <w:pStyle w:val="FirstParagraph"/>
      </w:pPr>
      <w:r>
        <w:t xml:space="preserve">This</w:t>
      </w:r>
      <w:r>
        <w:t xml:space="preserve"> </w:t>
      </w:r>
      <w:r>
        <w:t xml:space="preserve">Quotation Estimate</w:t>
      </w:r>
      <w:r>
        <w:t xml:space="preserve"> </w:t>
      </w:r>
      <w:r>
        <w:t xml:space="preserve">encompasses the end-to-end lifecycle of engaging a</w:t>
      </w:r>
      <w:r>
        <w:t xml:space="preserve"> </w:t>
      </w:r>
      <w:r>
        <w:t xml:space="preserve">Sales Executive</w:t>
      </w:r>
      <w:r>
        <w:t xml:space="preserve"> </w:t>
      </w:r>
      <w:r>
        <w:t xml:space="preserve">in</w:t>
      </w:r>
      <w:r>
        <w:t xml:space="preserve"> </w:t>
      </w:r>
      <w:r>
        <w:t xml:space="preserve">Egypt Cairo</w:t>
      </w:r>
      <w:r>
        <w:t xml:space="preserve">, from initial talent mapping through the first twelve months of employment. Specific deliverables include: a curated shortlist of no fewer than five (5) pre-vetted candidates; structured interview panels conducted in our Cairo office or via secure video link; a comprehensive onboarding package tailored to the client's sales methodology; monthly payroll processing compliant with Egyptian labor law (Law No. 12 of 2003); quarterly performance assessments aligned with the client's KPI framework; and a dedicated account manager available for all</w:t>
      </w:r>
      <w:r>
        <w:t xml:space="preserve"> </w:t>
      </w:r>
      <w:r>
        <w:t xml:space="preserve">Sales Executive</w:t>
      </w:r>
      <w:r>
        <w:t xml:space="preserve">-related HR matters throughout the engagement period.</w:t>
      </w:r>
    </w:p>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Any acceptance beyond this period is subject to re-confirmation of pricing.</w:t>
      </w:r>
    </w:p>
    <w:p>
      <w:pPr>
        <w:numPr>
          <w:ilvl w:val="0"/>
          <w:numId w:val="1001"/>
        </w:numPr>
        <w:pStyle w:val="Compact"/>
      </w:pPr>
      <w:r>
        <w:t xml:space="preserve">Payment terms: 40% upon signed acceptance, 40% upon successful onboarding of the</w:t>
      </w:r>
      <w:r>
        <w:t xml:space="preserve"> </w:t>
      </w:r>
      <w:r>
        <w:t xml:space="preserve">Sales Executive</w:t>
      </w:r>
      <w:r>
        <w:t xml:space="preserve">, and 20% upon completion of the first quarter in</w:t>
      </w:r>
      <w:r>
        <w:t xml:space="preserve"> </w:t>
      </w:r>
      <w:r>
        <w:t xml:space="preserve">Egypt Cairo</w:t>
      </w:r>
      <w:r>
        <w:t xml:space="preserve">.</w:t>
      </w:r>
    </w:p>
    <w:p>
      <w:pPr>
        <w:numPr>
          <w:ilvl w:val="0"/>
          <w:numId w:val="1001"/>
        </w:numPr>
        <w:pStyle w:val="Compact"/>
      </w:pPr>
      <w:r>
        <w:t xml:space="preserve">All statutory deductions (social insurance, personal income tax) are calculated in accordance with the latest regulations issued by the Egyptian Social Security Authority and the Egyptian Tax Authority.</w:t>
      </w:r>
    </w:p>
    <w:p>
      <w:pPr>
        <w:numPr>
          <w:ilvl w:val="0"/>
          <w:numId w:val="1001"/>
        </w:numPr>
        <w:pStyle w:val="Compact"/>
      </w:pPr>
      <w:r>
        <w:t xml:space="preserve">The replacement guarantee applies only if the</w:t>
      </w:r>
      <w:r>
        <w:t xml:space="preserve"> </w:t>
      </w:r>
      <w:r>
        <w:t xml:space="preserve">Sales Executive</w:t>
      </w:r>
      <w:r>
        <w:t xml:space="preserve"> </w:t>
      </w:r>
      <w:r>
        <w:t xml:space="preserve">resigns or is terminated for cause within the first ninety (90) days of employment.</w:t>
      </w:r>
    </w:p>
    <w:p>
      <w:pPr>
        <w:numPr>
          <w:ilvl w:val="0"/>
          <w:numId w:val="1001"/>
        </w:numPr>
        <w:pStyle w:val="Compact"/>
      </w:pPr>
      <w:r>
        <w:t xml:space="preserve">Any changes to the scope of work, including additional sales territories beyond Greater Cairo or extended contract duration, will be subject to a supplementary</w:t>
      </w:r>
      <w:r>
        <w:t xml:space="preserve"> </w:t>
      </w:r>
      <w:r>
        <w:t xml:space="preserve">Quotation Estimate</w:t>
      </w:r>
      <w:r>
        <w:t xml:space="preserve">.</w:t>
      </w:r>
    </w:p>
    <w:p>
      <w:pPr>
        <w:numPr>
          <w:ilvl w:val="0"/>
          <w:numId w:val="1001"/>
        </w:numPr>
        <w:pStyle w:val="Compact"/>
      </w:pPr>
      <w:r>
        <w:t xml:space="preserve">Governing law: This agreement is governed by the laws of the Arab Republic of Egypt. Any disputes shall be resolved through the competent courts in</w:t>
      </w:r>
      <w:r>
        <w:t xml:space="preserve"> </w:t>
      </w:r>
      <w:r>
        <w:t xml:space="preserve">Egypt Cairo</w:t>
      </w:r>
      <w:r>
        <w:t xml:space="preserve">.</w:t>
      </w:r>
    </w:p>
    <w:p>
      <w:pPr>
        <w:numPr>
          <w:ilvl w:val="0"/>
          <w:numId w:val="1001"/>
        </w:numPr>
        <w:pStyle w:val="Compact"/>
      </w:pPr>
      <w:r>
        <w:t xml:space="preserve">Confidentiality: All candidate data and client business information handled under this engagement are subject to strict non-disclosure obligations.</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recruitment and first-year engagement of a</w:t>
      </w:r>
      <w:r>
        <w:t xml:space="preserve"> </w:t>
      </w:r>
      <w:r>
        <w:t xml:space="preserve">Sales Executive</w:t>
      </w:r>
      <w:r>
        <w:t xml:space="preserve"> </w:t>
      </w:r>
      <w:r>
        <w:t xml:space="preserve">based in</w:t>
      </w:r>
      <w:r>
        <w:t xml:space="preserve"> </w:t>
      </w:r>
      <w:r>
        <w:t xml:space="preserve">Egypt Cairo</w:t>
      </w:r>
      <w:r>
        <w:t xml:space="preserve">.</w:t>
      </w:r>
    </w:p>
    <w:p>
      <w:pPr>
        <w:pStyle w:val="BodyText"/>
      </w:pPr>
      <w:r>
        <w:rPr>
          <w:bCs/>
          <w:b/>
        </w:rPr>
        <w:t xml:space="preserve">For the Service Provider</w:t>
      </w:r>
    </w:p>
    <w:p>
      <w:pPr>
        <w:pStyle w:val="BodyText"/>
      </w:pPr>
      <w:r>
        <w:t xml:space="preserve">Ms. Nour El-Sayed</w:t>
      </w:r>
      <w:r>
        <w:br/>
      </w:r>
      <w:r>
        <w:t xml:space="preserve">Senior Account Manager</w:t>
      </w:r>
    </w:p>
    <w:p>
      <w:pPr>
        <w:pStyle w:val="BodyText"/>
      </w:pPr>
      <w:r>
        <w:rPr>
          <w:bCs/>
          <w:b/>
        </w:rPr>
        <w:t xml:space="preserve">For the Client</w:t>
      </w:r>
    </w:p>
    <w:p>
      <w:pPr>
        <w:pStyle w:val="BodyText"/>
      </w:pPr>
      <w:r>
        <w:t xml:space="preserve">Authorized Signatory</w:t>
      </w:r>
      <w:r>
        <w:br/>
      </w:r>
      <w:r>
        <w:t xml:space="preserve">[Client Company Name]</w:t>
      </w:r>
    </w:p>
    <w:p>
      <w:pPr>
        <w:pStyle w:val="BodyText"/>
      </w:pPr>
      <w:r>
        <w:t xml:space="preserve">This Quotation Estimate document was prepared exclusively for the named client and is not transferable. All amounts are subject to verification against prevailing exchange rates and regulatory updates in Egypt Cairo. Document ID: QE-EGY-CAI-2025-0472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Sales Executive - Egypt Cairo</dc:title>
  <dc:creator/>
  <dc:language>en</dc:language>
  <cp:keywords/>
  <dcterms:created xsi:type="dcterms:W3CDTF">2026-10-10T06:42:22Z</dcterms:created>
  <dcterms:modified xsi:type="dcterms:W3CDTF">2026-10-10T06:42:22Z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