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PT Nusantara Talent Solutions</w:t>
      </w:r>
    </w:p>
    <w:p>
      <w:pPr>
        <w:pStyle w:val="BodyText"/>
      </w:pPr>
      <w:r>
        <w:t xml:space="preserve">Jl. Jend. Sudirman Kav. 52-53, Menara Sudirman 12th Floor, Jakarta Selatan 12190, Indonesia</w:t>
      </w:r>
    </w:p>
    <w:p>
      <w:pPr>
        <w:pStyle w:val="BodyText"/>
      </w:pPr>
      <w:r>
        <w:t xml:space="preserve">Tel: +62-21-5790-1234 | Email: quotations@nusantaratalent.co.id</w:t>
      </w:r>
    </w:p>
    <w:p>
      <w:pPr>
        <w:pStyle w:val="BodyText"/>
      </w:pPr>
      <w:r>
        <w:t xml:space="preserve">NPWP: 01.234.567.8-011.000</w:t>
      </w:r>
    </w:p>
    <w:bookmarkEnd w:id="20"/>
    <w:p>
      <w:pPr>
        <w:pStyle w:val="BodyText"/>
      </w:pPr>
      <w:r>
        <w:rPr>
          <w:bCs/>
          <w:b/>
        </w:rPr>
        <w:t xml:space="preserve">Quotation No.:</w:t>
      </w:r>
      <w:r>
        <w:t xml:space="preserve"> </w:t>
      </w:r>
      <w:r>
        <w:t xml:space="preserve">QTE/JKT/2025/00472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br/>
      </w:r>
      <w:r>
        <w:t xml:space="preserve">PT Global Commerce Indonesia</w:t>
      </w:r>
      <w:r>
        <w:br/>
      </w:r>
      <w:r>
        <w:t xml:space="preserve">Jl. Gatot Subroto Kav. 28, Jakarta Selatan 12950</w:t>
      </w:r>
      <w:r>
        <w:br/>
      </w:r>
      <w:r>
        <w:t xml:space="preserve">Attn: Mr. Hendra Wijaya, HR Director</w:t>
      </w:r>
    </w:p>
    <w:p>
      <w:pPr>
        <w:pStyle w:val="BodyText"/>
      </w:pPr>
      <w:r>
        <w:rPr>
          <w:bCs/>
          <w:b/>
        </w:rPr>
        <w:t xml:space="preserve">Prepared By:</w:t>
      </w:r>
      <w:r>
        <w:br/>
      </w:r>
      <w:r>
        <w:t xml:space="preserve">PT Nusantara Talent Solutions</w:t>
      </w:r>
      <w:r>
        <w:br/>
      </w:r>
      <w:r>
        <w:t xml:space="preserve">Attn: Ms. Sari Kusuma, Account Manager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PT Nusantara Talent Solutions to PT Global Commerce Indonesia for the recruitment, placement, and onboarding of a</w:t>
      </w:r>
      <w:r>
        <w:t xml:space="preserve"> </w:t>
      </w:r>
      <w:r>
        <w:t xml:space="preserve">Sales Executive</w:t>
      </w:r>
      <w:r>
        <w:t xml:space="preserve"> </w:t>
      </w:r>
      <w:r>
        <w:t xml:space="preserve">position based in</w:t>
      </w:r>
      <w:r>
        <w:t xml:space="preserve"> </w:t>
      </w:r>
      <w:r>
        <w:t xml:space="preserve">Indonesia Jakarta</w:t>
      </w:r>
      <w:r>
        <w:t xml:space="preserve">. This document outlines the complete scope of services, associated costs, payment schedules, and contractual terms governing the engagement. The</w:t>
      </w:r>
      <w:r>
        <w:t xml:space="preserve"> </w:t>
      </w:r>
      <w:r>
        <w:t xml:space="preserve">Quotation Estimate</w:t>
      </w:r>
      <w:r>
        <w:t xml:space="preserve"> </w:t>
      </w:r>
      <w:r>
        <w:t xml:space="preserve">is prepared in accordance with Indonesian labor regulations (UU No. 13 Tahun 2003 concerning Manpower) and applicable tax laws of the Republic of Indonesia.</w:t>
      </w:r>
    </w:p>
    <w:bookmarkEnd w:id="21"/>
    <w:bookmarkStart w:id="22" w:name="Xb0e06ca585a54a5a27c2ffb9e04d27f958a025b"/>
    <w:p>
      <w:pPr>
        <w:pStyle w:val="Heading2"/>
      </w:pPr>
      <w:r>
        <w:t xml:space="preserve">2. Scope of Services – Sales Executive Placement</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Sales Executive</w:t>
      </w:r>
      <w:r>
        <w:t xml:space="preserve"> </w:t>
      </w:r>
      <w:r>
        <w:t xml:space="preserve">role in</w:t>
      </w:r>
      <w:r>
        <w:t xml:space="preserve"> </w:t>
      </w:r>
      <w:r>
        <w:t xml:space="preserve">Indonesia Jakarta</w:t>
      </w:r>
      <w:r>
        <w:t xml:space="preserve">:</w:t>
      </w:r>
    </w:p>
    <w:p>
      <w:pPr>
        <w:numPr>
          <w:ilvl w:val="0"/>
          <w:numId w:val="1001"/>
        </w:numPr>
        <w:pStyle w:val="Compact"/>
      </w:pPr>
      <w:r>
        <w:rPr>
          <w:bCs/>
          <w:b/>
        </w:rPr>
        <w:t xml:space="preserve">Job Market Analysis:</w:t>
      </w:r>
      <w:r>
        <w:t xml:space="preserve"> </w:t>
      </w:r>
      <w:r>
        <w:t xml:space="preserve">Comprehensive assessment of the</w:t>
      </w:r>
      <w:r>
        <w:t xml:space="preserve"> </w:t>
      </w:r>
      <w:r>
        <w:t xml:space="preserve">Sales Executive</w:t>
      </w:r>
      <w:r>
        <w:t xml:space="preserve"> </w:t>
      </w:r>
      <w:r>
        <w:t xml:space="preserve">talent pool in the</w:t>
      </w:r>
      <w:r>
        <w:t xml:space="preserve"> </w:t>
      </w:r>
      <w:r>
        <w:t xml:space="preserve">Indonesia Jakarta</w:t>
      </w:r>
      <w:r>
        <w:t xml:space="preserve"> </w:t>
      </w:r>
      <w:r>
        <w:t xml:space="preserve">metropolitan area, including salary benchmarking, competitor analysis, and candidate availability review across South Jakarta, Central Jakarta, and East Jakarta districts.</w:t>
      </w:r>
    </w:p>
    <w:p>
      <w:pPr>
        <w:numPr>
          <w:ilvl w:val="0"/>
          <w:numId w:val="1001"/>
        </w:numPr>
        <w:pStyle w:val="Compact"/>
      </w:pPr>
      <w:r>
        <w:rPr>
          <w:bCs/>
          <w:b/>
        </w:rPr>
        <w:t xml:space="preserve">Job Description Development:</w:t>
      </w:r>
      <w:r>
        <w:t xml:space="preserve"> </w:t>
      </w:r>
      <w:r>
        <w:t xml:space="preserve">Drafting and refinement of the</w:t>
      </w:r>
      <w:r>
        <w:t xml:space="preserve"> </w:t>
      </w:r>
      <w:r>
        <w:t xml:space="preserve">Sales Executive</w:t>
      </w:r>
      <w:r>
        <w:t xml:space="preserve"> </w:t>
      </w:r>
      <w:r>
        <w:t xml:space="preserve">position description, including key performance indicators (KPIs), commission structure recommendations, and reporting hierarchy aligned with Jakarta market standards.</w:t>
      </w:r>
    </w:p>
    <w:p>
      <w:pPr>
        <w:numPr>
          <w:ilvl w:val="0"/>
          <w:numId w:val="1001"/>
        </w:numPr>
        <w:pStyle w:val="Compact"/>
      </w:pPr>
      <w:r>
        <w:rPr>
          <w:bCs/>
          <w:b/>
        </w:rPr>
        <w:t xml:space="preserve">Candidate Sourcing &amp; Screening:</w:t>
      </w:r>
      <w:r>
        <w:t xml:space="preserve"> </w:t>
      </w:r>
      <w:r>
        <w:t xml:space="preserve">Identification, outreach, and initial screening of a minimum of 25 qualified</w:t>
      </w:r>
      <w:r>
        <w:t xml:space="preserve"> </w:t>
      </w:r>
      <w:r>
        <w:t xml:space="preserve">Sales Executive</w:t>
      </w:r>
      <w:r>
        <w:t xml:space="preserve"> </w:t>
      </w:r>
      <w:r>
        <w:t xml:space="preserve">candidates residing in or willing to relocate to</w:t>
      </w:r>
      <w:r>
        <w:t xml:space="preserve"> </w:t>
      </w:r>
      <w:r>
        <w:t xml:space="preserve">Indonesia Jakarta</w:t>
      </w:r>
      <w:r>
        <w:t xml:space="preserve">. Screening includes CV review, telephone interviews, and psychometric assessments.</w:t>
      </w:r>
    </w:p>
    <w:p>
      <w:pPr>
        <w:numPr>
          <w:ilvl w:val="0"/>
          <w:numId w:val="1001"/>
        </w:numPr>
        <w:pStyle w:val="Compact"/>
      </w:pPr>
      <w:r>
        <w:rPr>
          <w:bCs/>
          <w:b/>
        </w:rPr>
        <w:t xml:space="preserve">Interview Coordination:</w:t>
      </w:r>
      <w:r>
        <w:t xml:space="preserve"> </w:t>
      </w:r>
      <w:r>
        <w:t xml:space="preserve">Scheduling and facilitating a minimum of two rounds of interviews (HR screening and departmental assessment) with the top 5 shortlisted</w:t>
      </w:r>
      <w:r>
        <w:t xml:space="preserve"> </w:t>
      </w:r>
      <w:r>
        <w:t xml:space="preserve">Sales Executive</w:t>
      </w:r>
      <w:r>
        <w:t xml:space="preserve"> </w:t>
      </w:r>
      <w:r>
        <w:t xml:space="preserve">candidates.</w:t>
      </w:r>
    </w:p>
    <w:p>
      <w:pPr>
        <w:numPr>
          <w:ilvl w:val="0"/>
          <w:numId w:val="1001"/>
        </w:numPr>
        <w:pStyle w:val="Compact"/>
      </w:pPr>
      <w:r>
        <w:rPr>
          <w:bCs/>
          <w:b/>
        </w:rPr>
        <w:t xml:space="preserve">Background &amp; Reference Verification:</w:t>
      </w:r>
      <w:r>
        <w:t xml:space="preserve"> </w:t>
      </w:r>
      <w:r>
        <w:t xml:space="preserve">Conducting thorough background checks, employment history verification, and reference calls for the final</w:t>
      </w:r>
      <w:r>
        <w:t xml:space="preserve"> </w:t>
      </w:r>
      <w:r>
        <w:t xml:space="preserve">Sales Executive</w:t>
      </w:r>
      <w:r>
        <w:t xml:space="preserve"> </w:t>
      </w:r>
      <w:r>
        <w:t xml:space="preserve">candidate selected in</w:t>
      </w:r>
      <w:r>
        <w:t xml:space="preserve"> </w:t>
      </w:r>
      <w:r>
        <w:t xml:space="preserve">Indonesia Jakarta</w:t>
      </w:r>
      <w:r>
        <w:t xml:space="preserve">.</w:t>
      </w:r>
    </w:p>
    <w:p>
      <w:pPr>
        <w:numPr>
          <w:ilvl w:val="0"/>
          <w:numId w:val="1001"/>
        </w:numPr>
        <w:pStyle w:val="Compact"/>
      </w:pPr>
      <w:r>
        <w:rPr>
          <w:bCs/>
          <w:b/>
        </w:rPr>
        <w:t xml:space="preserve">Offer Letter &amp; Contract Preparation:</w:t>
      </w:r>
      <w:r>
        <w:t xml:space="preserve"> </w:t>
      </w:r>
      <w:r>
        <w:t xml:space="preserve">Drafting the employment offer letter and standard employment contract (PKWT or PKWTT) in compliance with Indonesian labor law for the</w:t>
      </w:r>
      <w:r>
        <w:t xml:space="preserve"> </w:t>
      </w:r>
      <w:r>
        <w:t xml:space="preserve">Sales Executive</w:t>
      </w:r>
      <w:r>
        <w:t xml:space="preserve"> </w:t>
      </w:r>
      <w:r>
        <w:t xml:space="preserve">position.</w:t>
      </w:r>
    </w:p>
    <w:p>
      <w:pPr>
        <w:numPr>
          <w:ilvl w:val="0"/>
          <w:numId w:val="1001"/>
        </w:numPr>
        <w:pStyle w:val="Compact"/>
      </w:pPr>
      <w:r>
        <w:rPr>
          <w:bCs/>
          <w:b/>
        </w:rPr>
        <w:t xml:space="preserve">Onboarding Support:</w:t>
      </w:r>
      <w:r>
        <w:t xml:space="preserve"> </w:t>
      </w:r>
      <w:r>
        <w:t xml:space="preserve">Providing a 30-day post-placement support period to ensure the</w:t>
      </w:r>
      <w:r>
        <w:t xml:space="preserve"> </w:t>
      </w:r>
      <w:r>
        <w:t xml:space="preserve">Sales Executive</w:t>
      </w:r>
      <w:r>
        <w:t xml:space="preserve"> </w:t>
      </w:r>
      <w:r>
        <w:t xml:space="preserve">integrates smoothly into the</w:t>
      </w:r>
      <w:r>
        <w:t xml:space="preserve"> </w:t>
      </w:r>
      <w:r>
        <w:t xml:space="preserve">Indonesia Jakarta</w:t>
      </w:r>
      <w:r>
        <w:t xml:space="preserve"> </w:t>
      </w:r>
      <w:r>
        <w:t xml:space="preserve">office environment.</w:t>
      </w:r>
    </w:p>
    <w:bookmarkEnd w:id="22"/>
    <w:bookmarkStart w:id="23" w:name="financial-breakdown"/>
    <w:p>
      <w:pPr>
        <w:pStyle w:val="Heading2"/>
      </w:pPr>
      <w:r>
        <w:t xml:space="preserve">3. Financial Breakdown</w:t>
      </w:r>
    </w:p>
    <w:p>
      <w:pPr>
        <w:pStyle w:val="FirstParagraph"/>
      </w:pPr>
      <w:r>
        <w:t xml:space="preserve">The following table presents the detailed cost structure for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Job Market Analysis &amp; Salary Benchmarking for Sales Executive in Indonesia Jakarta</w:t>
            </w:r>
          </w:p>
        </w:tc>
        <w:tc>
          <w:tcPr/>
          <w:p>
            <w:pPr>
              <w:pStyle w:val="Compact"/>
              <w:jc w:val="left"/>
            </w:pPr>
            <w:r>
              <w:t xml:space="preserve">1 package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Job Description &amp; KPI Development for Sales Executive Role</w:t>
            </w:r>
          </w:p>
        </w:tc>
        <w:tc>
          <w:tcPr/>
          <w:p>
            <w:pPr>
              <w:pStyle w:val="Compact"/>
              <w:jc w:val="left"/>
            </w:pPr>
            <w:r>
              <w:t xml:space="preserve">1 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Candidate Sourcing, Screening &amp; Assessment (min. 25 candidates)</w:t>
            </w:r>
          </w:p>
        </w:tc>
        <w:tc>
          <w:tcPr/>
          <w:p>
            <w:pPr>
              <w:pStyle w:val="Compact"/>
              <w:jc w:val="left"/>
            </w:pPr>
            <w:r>
              <w:t xml:space="preserve">1 package</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t xml:space="preserve">Interview Coordination &amp; Facilitation (2 rounds, top 5 candidates)</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Background Check &amp; Reference Verification for Final Sales Executive Candidate</w:t>
            </w:r>
          </w:p>
        </w:tc>
        <w:tc>
          <w:tcPr/>
          <w:p>
            <w:pPr>
              <w:pStyle w:val="Compact"/>
              <w:jc w:val="left"/>
            </w:pPr>
            <w:r>
              <w:t xml:space="preserve">1 candidate</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6</w:t>
            </w:r>
          </w:p>
        </w:tc>
        <w:tc>
          <w:tcPr/>
          <w:p>
            <w:pPr>
              <w:pStyle w:val="Compact"/>
              <w:jc w:val="left"/>
            </w:pPr>
            <w:r>
              <w:t xml:space="preserve">Offer Letter &amp; Employment Contract Preparation (Indonesia Jakarta compliance)</w:t>
            </w:r>
          </w:p>
        </w:tc>
        <w:tc>
          <w:tcPr/>
          <w:p>
            <w:pPr>
              <w:pStyle w:val="Compact"/>
              <w:jc w:val="left"/>
            </w:pPr>
            <w:r>
              <w:t xml:space="preserve">1 package</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7</w:t>
            </w:r>
          </w:p>
        </w:tc>
        <w:tc>
          <w:tcPr/>
          <w:p>
            <w:pPr>
              <w:pStyle w:val="Compact"/>
              <w:jc w:val="left"/>
            </w:pPr>
            <w:r>
              <w:t xml:space="preserve">30-Day Post-Placement Onboarding Support for Sales Executive</w:t>
            </w:r>
          </w:p>
        </w:tc>
        <w:tc>
          <w:tcPr/>
          <w:p>
            <w:pPr>
              <w:pStyle w:val="Compact"/>
              <w:jc w:val="left"/>
            </w:pPr>
            <w:r>
              <w:t xml:space="preserve">1 package</w:t>
            </w:r>
          </w:p>
        </w:tc>
        <w:tc>
          <w:tcPr/>
          <w:p>
            <w:pPr>
              <w:pStyle w:val="Compact"/>
              <w:jc w:val="left"/>
            </w:pPr>
            <w:r>
              <w:t xml:space="preserve">10,000,000</w:t>
            </w:r>
          </w:p>
        </w:tc>
        <w:tc>
          <w:tcPr/>
          <w:p>
            <w:pPr>
              <w:pStyle w:val="Compact"/>
              <w:jc w:val="left"/>
            </w:pPr>
            <w:r>
              <w:t xml:space="preserve">10,000,000</w:t>
            </w:r>
          </w:p>
        </w:tc>
      </w:tr>
      <w:tr>
        <w:tc>
          <w:tcPr/>
          <w:p>
            <w:pPr>
              <w:pStyle w:val="Compact"/>
              <w:jc w:val="left"/>
            </w:pPr>
            <w:r>
              <w:t xml:space="preserve">8</w:t>
            </w:r>
          </w:p>
        </w:tc>
        <w:tc>
          <w:tcPr/>
          <w:p>
            <w:pPr>
              <w:pStyle w:val="Compact"/>
              <w:jc w:val="left"/>
            </w:pPr>
            <w:r>
              <w:t xml:space="preserve">Administrative &amp; Coordination Fees</w:t>
            </w:r>
          </w:p>
        </w:tc>
        <w:tc>
          <w:tcPr/>
          <w:p>
            <w:pPr>
              <w:pStyle w:val="Compact"/>
              <w:jc w:val="left"/>
            </w:pPr>
            <w:r>
              <w:t xml:space="preserve">1 package</w:t>
            </w:r>
          </w:p>
        </w:tc>
        <w:tc>
          <w:tcPr/>
          <w:p>
            <w:pPr>
              <w:pStyle w:val="Compact"/>
              <w:jc w:val="left"/>
            </w:pPr>
            <w:r>
              <w:t xml:space="preserve">5,000,000</w:t>
            </w:r>
          </w:p>
        </w:tc>
        <w:tc>
          <w:tcPr/>
          <w:p>
            <w:pPr>
              <w:pStyle w:val="Compact"/>
              <w:jc w:val="left"/>
            </w:pPr>
            <w:r>
              <w:t xml:space="preserve">5,000,000</w:t>
            </w:r>
          </w:p>
        </w:tc>
      </w:tr>
      <w:tr>
        <w:tc>
          <w:tcPr>
            <w:gridSpan w:val="4"/>
          </w:tcPr>
          <w:p>
            <w:pPr>
              <w:pStyle w:val="Compact"/>
              <w:jc w:val="left"/>
            </w:pPr>
            <w:r>
              <w:t xml:space="preserve">Subtotal</w:t>
            </w:r>
          </w:p>
        </w:tc>
        <w:tc>
          <w:tcPr/>
          <w:p>
            <w:pPr>
              <w:pStyle w:val="Compact"/>
              <w:jc w:val="left"/>
            </w:pPr>
            <w:r>
              <w:t xml:space="preserve">98,000,000</w:t>
            </w:r>
          </w:p>
        </w:tc>
      </w:tr>
      <w:tr>
        <w:tc>
          <w:tcPr>
            <w:gridSpan w:val="4"/>
          </w:tcPr>
          <w:p>
            <w:pPr>
              <w:pStyle w:val="Compact"/>
              <w:jc w:val="left"/>
            </w:pPr>
            <w:r>
              <w:t xml:space="preserve">VAT (PPN) 11%</w:t>
            </w:r>
          </w:p>
        </w:tc>
        <w:tc>
          <w:tcPr/>
          <w:p>
            <w:pPr>
              <w:pStyle w:val="Compact"/>
              <w:jc w:val="left"/>
            </w:pPr>
            <w:r>
              <w:t xml:space="preserve">10,780,000</w:t>
            </w:r>
          </w:p>
        </w:tc>
      </w:tr>
      <w:tr>
        <w:tc>
          <w:tcPr>
            <w:gridSpan w:val="4"/>
          </w:tcPr>
          <w:p>
            <w:pPr>
              <w:pStyle w:val="Compact"/>
              <w:jc w:val="left"/>
            </w:pPr>
            <w:r>
              <w:rPr>
                <w:bCs/>
                <w:b/>
              </w:rPr>
              <w:t xml:space="preserve">GRAND TOTAL (IDR)</w:t>
            </w:r>
          </w:p>
        </w:tc>
        <w:tc>
          <w:tcPr/>
          <w:p>
            <w:pPr>
              <w:pStyle w:val="Compact"/>
              <w:jc w:val="left"/>
            </w:pPr>
            <w:r>
              <w:rPr>
                <w:bCs/>
                <w:b/>
              </w:rPr>
              <w:t xml:space="preserve">108,780,000</w:t>
            </w:r>
          </w:p>
        </w:tc>
      </w:tr>
    </w:tbl>
    <w:p>
      <w:pPr>
        <w:pStyle w:val="BodyText"/>
      </w:pPr>
      <w:r>
        <w:t xml:space="preserve">* All amounts are stated in Indonesian Rupiah (IDR). The grand total of this</w:t>
      </w:r>
      <w:r>
        <w:t xml:space="preserve"> </w:t>
      </w:r>
      <w:r>
        <w:t xml:space="preserve">Quotation Estimate</w:t>
      </w:r>
      <w:r>
        <w:t xml:space="preserve"> </w:t>
      </w:r>
      <w:r>
        <w:t xml:space="preserve">is equivalent to approximately USD 6,700 at the prevailing exchange rate. Payment is subject to the terms outlined in Section 5.</w:t>
      </w:r>
    </w:p>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Market Analysis &amp; Job Description Finalization</w:t>
            </w:r>
          </w:p>
        </w:tc>
        <w:tc>
          <w:tcPr/>
          <w:p>
            <w:pPr>
              <w:pStyle w:val="Compact"/>
              <w:jc w:val="left"/>
            </w:pPr>
            <w:r>
              <w:t xml:space="preserve">Week 1–2</w:t>
            </w:r>
          </w:p>
        </w:tc>
        <w:tc>
          <w:tcPr/>
          <w:p>
            <w:pPr>
              <w:pStyle w:val="Compact"/>
              <w:jc w:val="left"/>
            </w:pPr>
            <w:r>
              <w:t xml:space="preserve">29 June 2025</w:t>
            </w:r>
          </w:p>
        </w:tc>
      </w:tr>
      <w:tr>
        <w:tc>
          <w:tcPr/>
          <w:p>
            <w:pPr>
              <w:pStyle w:val="Compact"/>
              <w:jc w:val="left"/>
            </w:pPr>
            <w:r>
              <w:t xml:space="preserve">Phase 2</w:t>
            </w:r>
          </w:p>
        </w:tc>
        <w:tc>
          <w:tcPr/>
          <w:p>
            <w:pPr>
              <w:pStyle w:val="Compact"/>
              <w:jc w:val="left"/>
            </w:pPr>
            <w:r>
              <w:t xml:space="preserve">Candidate Sourcing &amp; Initial Screening</w:t>
            </w:r>
          </w:p>
        </w:tc>
        <w:tc>
          <w:tcPr/>
          <w:p>
            <w:pPr>
              <w:pStyle w:val="Compact"/>
              <w:jc w:val="left"/>
            </w:pPr>
            <w:r>
              <w:t xml:space="preserve">Week 3–5</w:t>
            </w:r>
          </w:p>
        </w:tc>
        <w:tc>
          <w:tcPr/>
          <w:p>
            <w:pPr>
              <w:pStyle w:val="Compact"/>
              <w:jc w:val="left"/>
            </w:pPr>
            <w:r>
              <w:t xml:space="preserve">20 July 2025</w:t>
            </w:r>
          </w:p>
        </w:tc>
      </w:tr>
      <w:tr>
        <w:tc>
          <w:tcPr/>
          <w:p>
            <w:pPr>
              <w:pStyle w:val="Compact"/>
              <w:jc w:val="left"/>
            </w:pPr>
            <w:r>
              <w:t xml:space="preserve">Phase 3</w:t>
            </w:r>
          </w:p>
        </w:tc>
        <w:tc>
          <w:tcPr/>
          <w:p>
            <w:pPr>
              <w:pStyle w:val="Compact"/>
              <w:jc w:val="left"/>
            </w:pPr>
            <w:r>
              <w:t xml:space="preserve">Interviews, Assessment &amp; Selection</w:t>
            </w:r>
          </w:p>
        </w:tc>
        <w:tc>
          <w:tcPr/>
          <w:p>
            <w:pPr>
              <w:pStyle w:val="Compact"/>
              <w:jc w:val="left"/>
            </w:pPr>
            <w:r>
              <w:t xml:space="preserve">Week 6–7</w:t>
            </w:r>
          </w:p>
        </w:tc>
        <w:tc>
          <w:tcPr/>
          <w:p>
            <w:pPr>
              <w:pStyle w:val="Compact"/>
              <w:jc w:val="left"/>
            </w:pPr>
            <w:r>
              <w:t xml:space="preserve">3 August 2025</w:t>
            </w:r>
          </w:p>
        </w:tc>
      </w:tr>
      <w:tr>
        <w:tc>
          <w:tcPr/>
          <w:p>
            <w:pPr>
              <w:pStyle w:val="Compact"/>
              <w:jc w:val="left"/>
            </w:pPr>
            <w:r>
              <w:t xml:space="preserve">Phase 4</w:t>
            </w:r>
          </w:p>
        </w:tc>
        <w:tc>
          <w:tcPr/>
          <w:p>
            <w:pPr>
              <w:pStyle w:val="Compact"/>
              <w:jc w:val="left"/>
            </w:pPr>
            <w:r>
              <w:t xml:space="preserve">Offer, Contract &amp; Onboarding</w:t>
            </w:r>
          </w:p>
        </w:tc>
        <w:tc>
          <w:tcPr/>
          <w:p>
            <w:pPr>
              <w:pStyle w:val="Compact"/>
              <w:jc w:val="left"/>
            </w:pPr>
            <w:r>
              <w:t xml:space="preserve">Week 8–11</w:t>
            </w:r>
          </w:p>
        </w:tc>
        <w:tc>
          <w:tcPr/>
          <w:p>
            <w:pPr>
              <w:pStyle w:val="Compact"/>
              <w:jc w:val="left"/>
            </w:pPr>
            <w:r>
              <w:t xml:space="preserve">31 August 2025</w:t>
            </w:r>
          </w:p>
        </w:tc>
      </w:tr>
    </w:tbl>
    <w:bookmarkEnd w:id="24"/>
    <w:bookmarkStart w:id="25" w:name="payment-terms"/>
    <w:p>
      <w:pPr>
        <w:pStyle w:val="Heading2"/>
      </w:pPr>
      <w:r>
        <w:t xml:space="preserve">5. Payment Terms</w:t>
      </w:r>
    </w:p>
    <w:p>
      <w:pPr>
        <w:numPr>
          <w:ilvl w:val="0"/>
          <w:numId w:val="1002"/>
        </w:numPr>
        <w:pStyle w:val="Compact"/>
      </w:pPr>
      <w:r>
        <w:rPr>
          <w:bCs/>
          <w:b/>
        </w:rPr>
        <w:t xml:space="preserve">30% Down Payment:</w:t>
      </w:r>
      <w:r>
        <w:t xml:space="preserve"> </w:t>
      </w:r>
      <w:r>
        <w:t xml:space="preserve">IDR 32,634,000 (inclusive of VAT) due within 7 (seven) business days of acceptance of this</w:t>
      </w:r>
      <w:r>
        <w:t xml:space="preserve"> </w:t>
      </w:r>
      <w:r>
        <w:t xml:space="preserve">Quotation Estimate</w:t>
      </w:r>
      <w:r>
        <w:t xml:space="preserve">.</w:t>
      </w:r>
    </w:p>
    <w:p>
      <w:pPr>
        <w:numPr>
          <w:ilvl w:val="0"/>
          <w:numId w:val="1002"/>
        </w:numPr>
        <w:pStyle w:val="Compact"/>
      </w:pPr>
      <w:r>
        <w:rPr>
          <w:bCs/>
          <w:b/>
        </w:rPr>
        <w:t xml:space="preserve">40% Progress Payment:</w:t>
      </w:r>
      <w:r>
        <w:t xml:space="preserve"> </w:t>
      </w:r>
      <w:r>
        <w:t xml:space="preserve">IDR 43,512,000 (inclusive of VAT) due upon successful completion of the interview and selection phase for the</w:t>
      </w:r>
      <w:r>
        <w:t xml:space="preserve"> </w:t>
      </w:r>
      <w:r>
        <w:t xml:space="preserve">Sales Executive</w:t>
      </w:r>
      <w:r>
        <w:t xml:space="preserve"> </w:t>
      </w:r>
      <w:r>
        <w:t xml:space="preserve">candidate.</w:t>
      </w:r>
    </w:p>
    <w:p>
      <w:pPr>
        <w:numPr>
          <w:ilvl w:val="0"/>
          <w:numId w:val="1002"/>
        </w:numPr>
        <w:pStyle w:val="Compact"/>
      </w:pPr>
      <w:r>
        <w:rPr>
          <w:bCs/>
          <w:b/>
        </w:rPr>
        <w:t xml:space="preserve">30% Final Payment:</w:t>
      </w:r>
      <w:r>
        <w:t xml:space="preserve"> </w:t>
      </w:r>
      <w:r>
        <w:t xml:space="preserve">IDR 32,634,000 (inclusive of VAT) due upon completion of the 30-day onboarding period and confirmation of the</w:t>
      </w:r>
      <w:r>
        <w:t xml:space="preserve"> </w:t>
      </w:r>
      <w:r>
        <w:t xml:space="preserve">Sales Executive</w:t>
      </w:r>
      <w:r>
        <w:t xml:space="preserve">'s successful integration into the</w:t>
      </w:r>
      <w:r>
        <w:t xml:space="preserve"> </w:t>
      </w:r>
      <w:r>
        <w:t xml:space="preserve">Indonesia Jakarta</w:t>
      </w:r>
      <w:r>
        <w:t xml:space="preserve"> </w:t>
      </w:r>
      <w:r>
        <w:t xml:space="preserve">office.</w:t>
      </w:r>
    </w:p>
    <w:p>
      <w:pPr>
        <w:numPr>
          <w:ilvl w:val="0"/>
          <w:numId w:val="1002"/>
        </w:numPr>
        <w:pStyle w:val="Compact"/>
      </w:pPr>
      <w:r>
        <w:t xml:space="preserve">Payment shall be made via bank transfer to: Bank Mandiri, Account No. 137-00-2345678-9, a.n. PT Nusantara Talent Solutions.</w:t>
      </w:r>
    </w:p>
    <w:bookmarkEnd w:id="25"/>
    <w:bookmarkStart w:id="26" w:name="terms-conditions"/>
    <w:p>
      <w:pPr>
        <w:pStyle w:val="Heading2"/>
      </w:pPr>
      <w:r>
        <w:t xml:space="preserve">6. Terms &amp; Conditions</w:t>
      </w:r>
    </w:p>
    <w:p>
      <w:pPr>
        <w:numPr>
          <w:ilvl w:val="0"/>
          <w:numId w:val="1003"/>
        </w:numPr>
        <w:pStyle w:val="Compact"/>
      </w:pPr>
      <w:r>
        <w:t xml:space="preserve">This</w:t>
      </w:r>
      <w:r>
        <w:t xml:space="preserve"> </w:t>
      </w:r>
      <w:r>
        <w:t xml:space="preserve">Quotation Estimate</w:t>
      </w:r>
      <w:r>
        <w:t xml:space="preserve"> </w:t>
      </w:r>
      <w:r>
        <w:t xml:space="preserve">is valid for 30 (thirty) calendar days from the date of issue. Beyond this period, pricing may be subject to revision based on market conditions in</w:t>
      </w:r>
      <w:r>
        <w:t xml:space="preserve"> </w:t>
      </w:r>
      <w:r>
        <w:t xml:space="preserve">Indonesia Jakarta</w:t>
      </w:r>
      <w:r>
        <w:t xml:space="preserve">.</w:t>
      </w:r>
    </w:p>
    <w:p>
      <w:pPr>
        <w:numPr>
          <w:ilvl w:val="0"/>
          <w:numId w:val="1003"/>
        </w:numPr>
        <w:pStyle w:val="Compact"/>
      </w:pPr>
      <w:r>
        <w:t xml:space="preserve">The</w:t>
      </w:r>
      <w:r>
        <w:t xml:space="preserve"> </w:t>
      </w:r>
      <w:r>
        <w:t xml:space="preserve">Sales Executive</w:t>
      </w:r>
      <w:r>
        <w:t xml:space="preserve"> </w:t>
      </w:r>
      <w:r>
        <w:t xml:space="preserve">candidate must remain employed with PT Global Commerce Indonesia for a minimum period of 12 (twelve) months. In the event of voluntary resignation within this period, a replacement fee of 50% of the total placement cost shall apply.</w:t>
      </w:r>
    </w:p>
    <w:p>
      <w:pPr>
        <w:numPr>
          <w:ilvl w:val="0"/>
          <w:numId w:val="1003"/>
        </w:numPr>
        <w:pStyle w:val="Compact"/>
      </w:pPr>
      <w:r>
        <w:t xml:space="preserve">All candidate data processed during this engagement shall be handled in strict compliance with Indonesia's Personal Data Protection Law (UU No. 27 Tahun 2022).</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w:t>
      </w:r>
    </w:p>
    <w:p>
      <w:pPr>
        <w:numPr>
          <w:ilvl w:val="0"/>
          <w:numId w:val="1003"/>
        </w:numPr>
        <w:pStyle w:val="Compact"/>
      </w:pPr>
      <w:r>
        <w:t xml:space="preserve">Any disputes arising from this engagement shall be resolved through mediation in the</w:t>
      </w:r>
      <w:r>
        <w:t xml:space="preserve"> </w:t>
      </w:r>
      <w:r>
        <w:t xml:space="preserve">Indonesia Jakarta</w:t>
      </w:r>
      <w:r>
        <w:t xml:space="preserve"> </w:t>
      </w:r>
      <w:r>
        <w:t xml:space="preserve">jurisdiction, in accordance with the laws of the Republic of Indonesia.</w:t>
      </w:r>
    </w:p>
    <w:p>
      <w:pPr>
        <w:numPr>
          <w:ilvl w:val="0"/>
          <w:numId w:val="1003"/>
        </w:numPr>
        <w:pStyle w:val="Compact"/>
      </w:pPr>
      <w:r>
        <w:t xml:space="preserve">Force majeure events, including but not limited to natural disasters, government-mandated lockdowns, or pandemics affecting the</w:t>
      </w:r>
      <w:r>
        <w:t xml:space="preserve"> </w:t>
      </w:r>
      <w:r>
        <w:t xml:space="preserve">Indonesia Jakarta</w:t>
      </w:r>
      <w:r>
        <w:t xml:space="preserve"> </w:t>
      </w:r>
      <w:r>
        <w:t xml:space="preserve">region, shall extend the project timeline proportionally without additional cost.</w:t>
      </w:r>
    </w:p>
    <w:bookmarkEnd w:id="26"/>
    <w:bookmarkStart w:id="29" w:name="acceptance-authorization"/>
    <w:p>
      <w:pPr>
        <w:pStyle w:val="Heading2"/>
      </w:pPr>
      <w:r>
        <w:t xml:space="preserve">7. Acceptance &amp; Authorization</w:t>
      </w:r>
    </w:p>
    <w:p>
      <w:pPr>
        <w:pStyle w:val="FirstParagraph"/>
      </w:pPr>
      <w:r>
        <w:t xml:space="preserve">By signing below, both parties acknowledge and agree to the terms, conditions, and financial obligations set forth in this</w:t>
      </w:r>
      <w:r>
        <w:t xml:space="preserve"> </w:t>
      </w:r>
      <w:r>
        <w:t xml:space="preserve">Quotation Estimate</w:t>
      </w:r>
      <w:r>
        <w:t xml:space="preserve"> </w:t>
      </w:r>
      <w:r>
        <w:t xml:space="preserve">for the</w:t>
      </w:r>
      <w:r>
        <w:t xml:space="preserve"> </w:t>
      </w:r>
      <w:r>
        <w:t xml:space="preserve">Sales Executive</w:t>
      </w:r>
      <w:r>
        <w:t xml:space="preserve"> </w:t>
      </w:r>
      <w:r>
        <w:t xml:space="preserve">placement in</w:t>
      </w:r>
      <w:r>
        <w:t xml:space="preserve"> </w:t>
      </w:r>
      <w:r>
        <w:t xml:space="preserve">Indonesia Jakarta</w:t>
      </w:r>
      <w:r>
        <w:t xml:space="preserve">.</w:t>
      </w:r>
    </w:p>
    <w:bookmarkStart w:id="27" w:name="for-pt-global-commerce-indonesia-client"/>
    <w:p>
      <w:pPr>
        <w:pStyle w:val="Heading4"/>
      </w:pPr>
      <w:r>
        <w:t xml:space="preserve">For: PT Global Commerce Indonesia (Client)</w:t>
      </w:r>
    </w:p>
    <w:p>
      <w:pPr>
        <w:pStyle w:val="FirstParagraph"/>
      </w:pPr>
      <w:r>
        <w:t xml:space="preserve">Name: __________________________</w:t>
      </w:r>
    </w:p>
    <w:p>
      <w:pPr>
        <w:pStyle w:val="BodyText"/>
      </w:pPr>
      <w:r>
        <w:t xml:space="preserve">Position: HR Director</w:t>
      </w:r>
    </w:p>
    <w:p>
      <w:pPr>
        <w:pStyle w:val="BodyText"/>
      </w:pPr>
      <w:r>
        <w:t xml:space="preserve">Date: __________________________</w:t>
      </w:r>
    </w:p>
    <w:p>
      <w:pPr>
        <w:pStyle w:val="BodyText"/>
      </w:pPr>
      <w:r>
        <w:t xml:space="preserve">Signature &amp; Company Stamp</w:t>
      </w:r>
    </w:p>
    <w:bookmarkEnd w:id="27"/>
    <w:bookmarkStart w:id="28" w:name="X86a9e57dc8cb5ae5c0bbfad5e7f945d9334826d"/>
    <w:p>
      <w:pPr>
        <w:pStyle w:val="Heading4"/>
      </w:pPr>
      <w:r>
        <w:t xml:space="preserve">For: PT Nusantara Talent Solutions (Provider)</w:t>
      </w:r>
    </w:p>
    <w:p>
      <w:pPr>
        <w:pStyle w:val="FirstParagraph"/>
      </w:pPr>
      <w:r>
        <w:t xml:space="preserve">Name: Sari Kusuma</w:t>
      </w:r>
    </w:p>
    <w:p>
      <w:pPr>
        <w:pStyle w:val="BodyText"/>
      </w:pPr>
      <w:r>
        <w:t xml:space="preserve">Position: Account Manager</w:t>
      </w:r>
    </w:p>
    <w:p>
      <w:pPr>
        <w:pStyle w:val="BodyText"/>
      </w:pPr>
      <w:r>
        <w:t xml:space="preserve">Date: 15 June 2025</w:t>
      </w:r>
    </w:p>
    <w:p>
      <w:pPr>
        <w:pStyle w:val="BodyText"/>
      </w:pPr>
      <w:r>
        <w:t xml:space="preserve">Signature &amp; Company Stamp</w:t>
      </w:r>
    </w:p>
    <w:bookmarkEnd w:id="28"/>
    <w:p>
      <w:pPr>
        <w:pStyle w:val="BodyText"/>
      </w:pPr>
      <w:r>
        <w:t xml:space="preserve">This Quotation Estimate (QTE/JKT/2025/00472) is the property of PT Nusantara Talent Solutions and is intended solely for the use of PT Global Commerce Indonesia. Unauthorized reproduction or distribution is prohibited. For inquiries regarding this Sales Executive placement in Indonesia Jakarta, please contact quotations@nusantaratalent.co.id or +62-21-5790-1234.</w:t>
      </w:r>
    </w:p>
    <w:p>
      <w:pPr>
        <w:pStyle w:val="BodyText"/>
      </w:pPr>
      <w:r>
        <w:t xml:space="preserve">© 2025 PT Nusantara Talent Solutions.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Indonesia Jakarta</dc:title>
  <dc:creator/>
  <dc:language>en</dc:language>
  <cp:keywords/>
  <dcterms:created xsi:type="dcterms:W3CDTF">2026-10-10T07:34:00Z</dcterms:created>
  <dcterms:modified xsi:type="dcterms:W3CDTF">2026-10-10T07:34:00Z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