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Recruitment &amp; Staffing Services</w:t>
      </w:r>
    </w:p>
    <w:p>
      <w:pPr>
        <w:pStyle w:val="BodyText"/>
      </w:pPr>
      <w:r>
        <w:t xml:space="preserve">12 HaYarkon Street, Tel Aviv-Yafo, Israel 6905001</w:t>
      </w:r>
    </w:p>
    <w:p>
      <w:pPr>
        <w:pStyle w:val="BodyText"/>
      </w:pPr>
      <w:r>
        <w:t xml:space="preserve">Tel: +972-3-555-0142 | Email: quotes@talentplacement.co.il</w:t>
      </w:r>
    </w:p>
    <w:p>
      <w:pPr>
        <w:pStyle w:val="BodyText"/>
      </w:pPr>
      <w:r>
        <w:t xml:space="preserve">VAT: 51-234-567-8 | License No. IL-REC-2024-0891</w:t>
      </w:r>
    </w:p>
    <w:bookmarkEnd w:id="20"/>
    <w:p>
      <w:pPr>
        <w:pStyle w:val="BodyText"/>
      </w:pPr>
      <w:r>
        <w:rPr>
          <w:bCs/>
          <w:b/>
        </w:rPr>
        <w:t xml:space="preserve">Quotation No.:</w:t>
      </w:r>
      <w:r>
        <w:t xml:space="preserve"> </w:t>
      </w:r>
      <w:r>
        <w:t xml:space="preserve">QE-2025-TLV-0347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Position:</w:t>
      </w:r>
      <w:r>
        <w:t xml:space="preserve"> </w:t>
      </w:r>
      <w:r>
        <w:t xml:space="preserve">Sales Executive</w:t>
      </w:r>
    </w:p>
    <w:p>
      <w:pPr>
        <w:pStyle w:val="BodyText"/>
      </w:pPr>
      <w:r>
        <w:rPr>
          <w:bCs/>
          <w:b/>
        </w:rPr>
        <w:t xml:space="preserve">Location:</w:t>
      </w:r>
      <w:r>
        <w:t xml:space="preserve"> </w:t>
      </w:r>
      <w:r>
        <w:t xml:space="preserve">Israel Tel Aviv</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Technologies Ltd.</w:t>
            </w:r>
          </w:p>
        </w:tc>
      </w:tr>
      <w:tr>
        <w:tc>
          <w:tcPr/>
          <w:p>
            <w:pPr>
              <w:pStyle w:val="Compact"/>
              <w:jc w:val="left"/>
            </w:pPr>
            <w:r>
              <w:rPr>
                <w:bCs/>
                <w:b/>
              </w:rPr>
              <w:t xml:space="preserve">Address:</w:t>
            </w:r>
          </w:p>
        </w:tc>
        <w:tc>
          <w:tcPr/>
          <w:p>
            <w:pPr>
              <w:pStyle w:val="Compact"/>
              <w:jc w:val="left"/>
            </w:pPr>
            <w:r>
              <w:t xml:space="preserve">45 Allenby Road, Tel Aviv-Yafo, Israel 6500000</w:t>
            </w:r>
          </w:p>
        </w:tc>
      </w:tr>
      <w:tr>
        <w:tc>
          <w:tcPr/>
          <w:p>
            <w:pPr>
              <w:pStyle w:val="Compact"/>
              <w:jc w:val="left"/>
            </w:pPr>
            <w:r>
              <w:rPr>
                <w:bCs/>
                <w:b/>
              </w:rPr>
              <w:t xml:space="preserve">Contact Person:</w:t>
            </w:r>
          </w:p>
        </w:tc>
        <w:tc>
          <w:tcPr/>
          <w:p>
            <w:pPr>
              <w:pStyle w:val="Compact"/>
              <w:jc w:val="left"/>
            </w:pPr>
            <w:r>
              <w:t xml:space="preserve">Mr. David Cohen, Head of Human Resources</w:t>
            </w:r>
          </w:p>
        </w:tc>
      </w:tr>
      <w:tr>
        <w:tc>
          <w:tcPr/>
          <w:p>
            <w:pPr>
              <w:pStyle w:val="Compact"/>
              <w:jc w:val="left"/>
            </w:pPr>
            <w:r>
              <w:rPr>
                <w:bCs/>
                <w:b/>
              </w:rPr>
              <w:t xml:space="preserve">Email:</w:t>
            </w:r>
          </w:p>
        </w:tc>
        <w:tc>
          <w:tcPr/>
          <w:p>
            <w:pPr>
              <w:pStyle w:val="Compact"/>
              <w:jc w:val="left"/>
            </w:pPr>
            <w:r>
              <w:t xml:space="preserve">d.cohen@meridian-tech.co.il</w:t>
            </w:r>
          </w:p>
        </w:tc>
      </w:tr>
      <w:tr>
        <w:tc>
          <w:tcPr/>
          <w:p>
            <w:pPr>
              <w:pStyle w:val="Compact"/>
              <w:jc w:val="left"/>
            </w:pPr>
            <w:r>
              <w:rPr>
                <w:bCs/>
                <w:b/>
              </w:rPr>
              <w:t xml:space="preserve">Phone:</w:t>
            </w:r>
          </w:p>
        </w:tc>
        <w:tc>
          <w:tcPr/>
          <w:p>
            <w:pPr>
              <w:pStyle w:val="Compact"/>
              <w:jc w:val="left"/>
            </w:pPr>
            <w:r>
              <w:t xml:space="preserve">+972-3-666-7821</w:t>
            </w:r>
          </w:p>
        </w:tc>
      </w:tr>
    </w:tbl>
    <w:bookmarkEnd w:id="21"/>
    <w:bookmarkStart w:id="22" w:name="Xbfaf07d84864fd20e0c55d4bf35bdb3614d2c5a"/>
    <w:p>
      <w:pPr>
        <w:pStyle w:val="Heading2"/>
      </w:pPr>
      <w:r>
        <w:t xml:space="preserve">2. Scope of Services – Sales Executive Placement in Israel Tel Aviv</w:t>
      </w:r>
    </w:p>
    <w:p>
      <w:pPr>
        <w:pStyle w:val="FirstParagraph"/>
      </w:pPr>
      <w:r>
        <w:t xml:space="preserve">This</w:t>
      </w:r>
      <w:r>
        <w:t xml:space="preserve"> </w:t>
      </w:r>
      <w:r>
        <w:t xml:space="preserve">Quotation Estimate</w:t>
      </w:r>
      <w:r>
        <w:t xml:space="preserve"> </w:t>
      </w:r>
      <w:r>
        <w:t xml:space="preserve">is issued in response to the formal request submitted by Meridian Technologies Ltd. for the recruitment, screening, and placement of a qualified</w:t>
      </w:r>
      <w:r>
        <w:t xml:space="preserve"> </w:t>
      </w:r>
      <w:r>
        <w:t xml:space="preserve">Sales Executive</w:t>
      </w:r>
      <w:r>
        <w:t xml:space="preserve"> </w:t>
      </w:r>
      <w:r>
        <w:t xml:space="preserve">to operate within the competitive commercial landscape of</w:t>
      </w:r>
      <w:r>
        <w:t xml:space="preserve"> </w:t>
      </w:r>
      <w:r>
        <w:t xml:space="preserve">Israel Tel Aviv</w:t>
      </w:r>
      <w:r>
        <w:t xml:space="preserve">. Our firm specializes in identifying top-tier sales professionals who possess both the technical acumen and the interpersonal skills necessary to drive revenue growth in the Tel Aviv metropolitan area. The</w:t>
      </w:r>
      <w:r>
        <w:t xml:space="preserve"> </w:t>
      </w:r>
      <w:r>
        <w:t xml:space="preserve">Sales Executive</w:t>
      </w:r>
      <w:r>
        <w:t xml:space="preserve"> </w:t>
      </w:r>
      <w:r>
        <w:t xml:space="preserve">role described herein encompasses B2B and B2C sales activities, client relationship management, territory development across the Tel Aviv–HaSharon region, and coordination with cross-functional teams including marketing, product development, and customer success.</w:t>
      </w:r>
    </w:p>
    <w:p>
      <w:pPr>
        <w:pStyle w:val="BodyText"/>
      </w:pPr>
      <w:r>
        <w:t xml:space="preserve">The</w:t>
      </w:r>
      <w:r>
        <w:t xml:space="preserve"> </w:t>
      </w:r>
      <w:r>
        <w:t xml:space="preserve">Quotation Estimate</w:t>
      </w:r>
      <w:r>
        <w:t xml:space="preserve"> </w:t>
      </w:r>
      <w:r>
        <w:t xml:space="preserve">below details all professional services rendered by our firm to fulfill this recruitment mandate. All activities are conducted in full compliance with Israeli labor law, including the National Insurance Law, the Equal Remuneration Law, and the regulations governing employment in the Tel Aviv–Yafo municipality. The</w:t>
      </w:r>
      <w:r>
        <w:t xml:space="preserve"> </w:t>
      </w:r>
      <w:r>
        <w:t xml:space="preserve">Sales Executive</w:t>
      </w:r>
      <w:r>
        <w:t xml:space="preserve"> </w:t>
      </w:r>
      <w:r>
        <w:t xml:space="preserve">candidate pool will be sourced from local talent networks, professional associations, and targeted digital outreach specific to the</w:t>
      </w:r>
      <w:r>
        <w:t xml:space="preserve"> </w:t>
      </w:r>
      <w:r>
        <w:t xml:space="preserve">Israel Tel Aviv</w:t>
      </w:r>
      <w:r>
        <w:t xml:space="preserve"> </w:t>
      </w:r>
      <w:r>
        <w:t xml:space="preserve">job market.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Job specification development and market analysis for the Sales Executive role in Israel Tel Aviv</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Advert placement on leading Israeli recruitment platforms (JobSeek, LinkedIn Israel, Boker) targeting Tel Aviv candidates</w:t>
            </w:r>
          </w:p>
        </w:tc>
        <w:tc>
          <w:tcPr/>
          <w:p>
            <w:pPr>
              <w:pStyle w:val="Compact"/>
              <w:jc w:val="left"/>
            </w:pPr>
            <w:r>
              <w:t xml:space="preserve">Week</w:t>
            </w:r>
          </w:p>
        </w:tc>
        <w:tc>
          <w:tcPr/>
          <w:p>
            <w:pPr>
              <w:pStyle w:val="Compact"/>
              <w:jc w:val="left"/>
            </w:pPr>
            <w:r>
              <w:t xml:space="preserve">3</w:t>
            </w:r>
          </w:p>
        </w:tc>
        <w:tc>
          <w:tcPr/>
          <w:p>
            <w:pPr>
              <w:pStyle w:val="Compact"/>
              <w:jc w:val="left"/>
            </w:pPr>
            <w:r>
              <w:t xml:space="preserve">2,800</w:t>
            </w:r>
          </w:p>
        </w:tc>
        <w:tc>
          <w:tcPr/>
          <w:p>
            <w:pPr>
              <w:pStyle w:val="Compact"/>
              <w:jc w:val="left"/>
            </w:pPr>
            <w:r>
              <w:t xml:space="preserve">8,400</w:t>
            </w:r>
          </w:p>
        </w:tc>
      </w:tr>
      <w:tr>
        <w:tc>
          <w:tcPr/>
          <w:p>
            <w:pPr>
              <w:pStyle w:val="Compact"/>
              <w:jc w:val="left"/>
            </w:pPr>
            <w:r>
              <w:t xml:space="preserve">03</w:t>
            </w:r>
          </w:p>
        </w:tc>
        <w:tc>
          <w:tcPr/>
          <w:p>
            <w:pPr>
              <w:pStyle w:val="Compact"/>
              <w:jc w:val="left"/>
            </w:pPr>
            <w:r>
              <w:t xml:space="preserve">Initial candidate screening and CV review (minimum 40 candidates for the Sales Executive position)</w:t>
            </w:r>
          </w:p>
        </w:tc>
        <w:tc>
          <w:tcPr/>
          <w:p>
            <w:pPr>
              <w:pStyle w:val="Compact"/>
              <w:jc w:val="left"/>
            </w:pPr>
            <w:r>
              <w:t xml:space="preserve">Batch</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04</w:t>
            </w:r>
          </w:p>
        </w:tc>
        <w:tc>
          <w:tcPr/>
          <w:p>
            <w:pPr>
              <w:pStyle w:val="Compact"/>
              <w:jc w:val="left"/>
            </w:pPr>
            <w:r>
              <w:t xml:space="preserve">Structured behavioral and technical interviews (up to 10 shortlisted Sales Executive candidates)</w:t>
            </w:r>
          </w:p>
        </w:tc>
        <w:tc>
          <w:tcPr/>
          <w:p>
            <w:pPr>
              <w:pStyle w:val="Compact"/>
              <w:jc w:val="left"/>
            </w:pPr>
            <w:r>
              <w:t xml:space="preserve">Interview</w:t>
            </w:r>
          </w:p>
        </w:tc>
        <w:tc>
          <w:tcPr/>
          <w:p>
            <w:pPr>
              <w:pStyle w:val="Compact"/>
              <w:jc w:val="left"/>
            </w:pPr>
            <w:r>
              <w:t xml:space="preserve">10</w:t>
            </w:r>
          </w:p>
        </w:tc>
        <w:tc>
          <w:tcPr/>
          <w:p>
            <w:pPr>
              <w:pStyle w:val="Compact"/>
              <w:jc w:val="left"/>
            </w:pPr>
            <w:r>
              <w:t xml:space="preserve">750</w:t>
            </w:r>
          </w:p>
        </w:tc>
        <w:tc>
          <w:tcPr/>
          <w:p>
            <w:pPr>
              <w:pStyle w:val="Compact"/>
              <w:jc w:val="left"/>
            </w:pPr>
            <w:r>
              <w:t xml:space="preserve">7,500</w:t>
            </w:r>
          </w:p>
        </w:tc>
      </w:tr>
      <w:tr>
        <w:tc>
          <w:tcPr/>
          <w:p>
            <w:pPr>
              <w:pStyle w:val="Compact"/>
              <w:jc w:val="left"/>
            </w:pPr>
            <w:r>
              <w:t xml:space="preserve">05</w:t>
            </w:r>
          </w:p>
        </w:tc>
        <w:tc>
          <w:tcPr/>
          <w:p>
            <w:pPr>
              <w:pStyle w:val="Compact"/>
              <w:jc w:val="left"/>
            </w:pPr>
            <w:r>
              <w:t xml:space="preserve">Psychometric and sales competency assessment tailored to the Israel Tel Aviv commercial environment</w:t>
            </w:r>
          </w:p>
        </w:tc>
        <w:tc>
          <w:tcPr/>
          <w:p>
            <w:pPr>
              <w:pStyle w:val="Compact"/>
              <w:jc w:val="left"/>
            </w:pPr>
            <w:r>
              <w:t xml:space="preserve">Assessment</w:t>
            </w:r>
          </w:p>
        </w:tc>
        <w:tc>
          <w:tcPr/>
          <w:p>
            <w:pPr>
              <w:pStyle w:val="Compact"/>
              <w:jc w:val="left"/>
            </w:pPr>
            <w:r>
              <w:t xml:space="preserve">5</w:t>
            </w:r>
          </w:p>
        </w:tc>
        <w:tc>
          <w:tcPr/>
          <w:p>
            <w:pPr>
              <w:pStyle w:val="Compact"/>
              <w:jc w:val="left"/>
            </w:pPr>
            <w:r>
              <w:t xml:space="preserve">1,200</w:t>
            </w:r>
          </w:p>
        </w:tc>
        <w:tc>
          <w:tcPr/>
          <w:p>
            <w:pPr>
              <w:pStyle w:val="Compact"/>
              <w:jc w:val="left"/>
            </w:pPr>
            <w:r>
              <w:t xml:space="preserve">6,000</w:t>
            </w:r>
          </w:p>
        </w:tc>
      </w:tr>
      <w:tr>
        <w:tc>
          <w:tcPr/>
          <w:p>
            <w:pPr>
              <w:pStyle w:val="Compact"/>
              <w:jc w:val="left"/>
            </w:pPr>
            <w:r>
              <w:t xml:space="preserve">06</w:t>
            </w:r>
          </w:p>
        </w:tc>
        <w:tc>
          <w:tcPr/>
          <w:p>
            <w:pPr>
              <w:pStyle w:val="Compact"/>
              <w:jc w:val="left"/>
            </w:pPr>
            <w:r>
              <w:t xml:space="preserve">Reference verification and background check (compliant with Israeli privacy regulations)</w:t>
            </w:r>
          </w:p>
        </w:tc>
        <w:tc>
          <w:tcPr/>
          <w:p>
            <w:pPr>
              <w:pStyle w:val="Compact"/>
              <w:jc w:val="left"/>
            </w:pPr>
            <w:r>
              <w:t xml:space="preserve">Candidate</w:t>
            </w:r>
          </w:p>
        </w:tc>
        <w:tc>
          <w:tcPr/>
          <w:p>
            <w:pPr>
              <w:pStyle w:val="Compact"/>
              <w:jc w:val="left"/>
            </w:pPr>
            <w:r>
              <w:t xml:space="preserve">3</w:t>
            </w:r>
          </w:p>
        </w:tc>
        <w:tc>
          <w:tcPr/>
          <w:p>
            <w:pPr>
              <w:pStyle w:val="Compact"/>
              <w:jc w:val="left"/>
            </w:pPr>
            <w:r>
              <w:t xml:space="preserve">900</w:t>
            </w:r>
          </w:p>
        </w:tc>
        <w:tc>
          <w:tcPr/>
          <w:p>
            <w:pPr>
              <w:pStyle w:val="Compact"/>
              <w:jc w:val="left"/>
            </w:pPr>
            <w:r>
              <w:t xml:space="preserve">2,700</w:t>
            </w:r>
          </w:p>
        </w:tc>
      </w:tr>
      <w:tr>
        <w:tc>
          <w:tcPr/>
          <w:p>
            <w:pPr>
              <w:pStyle w:val="Compact"/>
              <w:jc w:val="left"/>
            </w:pPr>
            <w:r>
              <w:t xml:space="preserve">07</w:t>
            </w:r>
          </w:p>
        </w:tc>
        <w:tc>
          <w:tcPr/>
          <w:p>
            <w:pPr>
              <w:pStyle w:val="Compact"/>
              <w:jc w:val="left"/>
            </w:pPr>
            <w:r>
              <w:t xml:space="preserve">Final candidate shortlisting report and recommendation memo for the Sales Executive role</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08</w:t>
            </w:r>
          </w:p>
        </w:tc>
        <w:tc>
          <w:tcPr/>
          <w:p>
            <w:pPr>
              <w:pStyle w:val="Compact"/>
              <w:jc w:val="left"/>
            </w:pPr>
            <w:r>
              <w:t xml:space="preserve">Offer negotiation support and onboarding coordination in Israel Tel Aviv</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09</w:t>
            </w:r>
          </w:p>
        </w:tc>
        <w:tc>
          <w:tcPr/>
          <w:p>
            <w:pPr>
              <w:pStyle w:val="Compact"/>
              <w:jc w:val="left"/>
            </w:pPr>
            <w:r>
              <w:t xml:space="preserve">90-day post-placement support and performance check-in for the appointed Sales Executive</w:t>
            </w:r>
          </w:p>
        </w:tc>
        <w:tc>
          <w:tcPr/>
          <w:p>
            <w:pPr>
              <w:pStyle w:val="Compact"/>
              <w:jc w:val="left"/>
            </w:pPr>
            <w:r>
              <w:t xml:space="preserve">Period</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gridSpan w:val="5"/>
          </w:tcPr>
          <w:p>
            <w:pPr>
              <w:pStyle w:val="Compact"/>
              <w:jc w:val="left"/>
            </w:pPr>
            <w:r>
              <w:t xml:space="preserve">Subtotal (Excluding VAT)</w:t>
            </w:r>
          </w:p>
        </w:tc>
        <w:tc>
          <w:tcPr/>
          <w:p>
            <w:pPr>
              <w:pStyle w:val="Compact"/>
              <w:jc w:val="left"/>
            </w:pPr>
            <w:r>
              <w:t xml:space="preserve">47,600</w:t>
            </w:r>
          </w:p>
        </w:tc>
      </w:tr>
      <w:tr>
        <w:tc>
          <w:tcPr>
            <w:gridSpan w:val="5"/>
          </w:tcPr>
          <w:p>
            <w:pPr>
              <w:pStyle w:val="Compact"/>
              <w:jc w:val="left"/>
            </w:pPr>
            <w:r>
              <w:t xml:space="preserve">VAT (18%)</w:t>
            </w:r>
          </w:p>
        </w:tc>
        <w:tc>
          <w:tcPr/>
          <w:p>
            <w:pPr>
              <w:pStyle w:val="Compact"/>
              <w:jc w:val="left"/>
            </w:pPr>
            <w:r>
              <w:t xml:space="preserve">8,568</w:t>
            </w:r>
          </w:p>
        </w:tc>
      </w:tr>
      <w:tr>
        <w:tc>
          <w:tcPr>
            <w:gridSpan w:val="5"/>
          </w:tcPr>
          <w:p>
            <w:pPr>
              <w:pStyle w:val="Compact"/>
              <w:jc w:val="left"/>
            </w:pPr>
            <w:r>
              <w:t xml:space="preserve">Grand Total (Including VAT)</w:t>
            </w:r>
          </w:p>
        </w:tc>
        <w:tc>
          <w:tcPr/>
          <w:p>
            <w:pPr>
              <w:pStyle w:val="Compact"/>
              <w:jc w:val="left"/>
            </w:pPr>
            <w:r>
              <w:t xml:space="preserve">56,168</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(ILS, incl. VAT)</w:t>
            </w:r>
          </w:p>
        </w:tc>
        <w:tc>
          <w:tcPr/>
          <w:p>
            <w:pPr>
              <w:pStyle w:val="Compact"/>
              <w:jc w:val="left"/>
            </w:pPr>
            <w:r>
              <w:t xml:space="preserve">Due Date</w:t>
            </w:r>
          </w:p>
        </w:tc>
      </w:tr>
      <w:tr>
        <w:tc>
          <w:tcPr/>
          <w:p>
            <w:pPr>
              <w:pStyle w:val="Compact"/>
              <w:jc w:val="left"/>
            </w:pPr>
            <w:r>
              <w:t xml:space="preserve">Upon acceptance of this Quotation Estimate</w:t>
            </w:r>
          </w:p>
        </w:tc>
        <w:tc>
          <w:tcPr/>
          <w:p>
            <w:pPr>
              <w:pStyle w:val="Compact"/>
              <w:jc w:val="left"/>
            </w:pPr>
            <w:r>
              <w:t xml:space="preserve">30%</w:t>
            </w:r>
          </w:p>
        </w:tc>
        <w:tc>
          <w:tcPr/>
          <w:p>
            <w:pPr>
              <w:pStyle w:val="Compact"/>
              <w:jc w:val="left"/>
            </w:pPr>
            <w:r>
              <w:t xml:space="preserve">16,850</w:t>
            </w:r>
          </w:p>
        </w:tc>
        <w:tc>
          <w:tcPr/>
          <w:p>
            <w:pPr>
              <w:pStyle w:val="Compact"/>
              <w:jc w:val="left"/>
            </w:pPr>
            <w:r>
              <w:t xml:space="preserve">Within 5 business days</w:t>
            </w:r>
          </w:p>
        </w:tc>
      </w:tr>
      <w:tr>
        <w:tc>
          <w:tcPr/>
          <w:p>
            <w:pPr>
              <w:pStyle w:val="Compact"/>
              <w:jc w:val="left"/>
            </w:pPr>
            <w:r>
              <w:t xml:space="preserve">Upon delivery of shortlisted candidates</w:t>
            </w:r>
          </w:p>
        </w:tc>
        <w:tc>
          <w:tcPr/>
          <w:p>
            <w:pPr>
              <w:pStyle w:val="Compact"/>
              <w:jc w:val="left"/>
            </w:pPr>
            <w:r>
              <w:t xml:space="preserve">40%</w:t>
            </w:r>
          </w:p>
        </w:tc>
        <w:tc>
          <w:tcPr/>
          <w:p>
            <w:pPr>
              <w:pStyle w:val="Compact"/>
              <w:jc w:val="left"/>
            </w:pPr>
            <w:r>
              <w:t xml:space="preserve">22,467</w:t>
            </w:r>
          </w:p>
        </w:tc>
        <w:tc>
          <w:tcPr/>
          <w:p>
            <w:pPr>
              <w:pStyle w:val="Compact"/>
              <w:jc w:val="left"/>
            </w:pPr>
            <w:r>
              <w:t xml:space="preserve">Within 10 business days of delivery</w:t>
            </w:r>
          </w:p>
        </w:tc>
      </w:tr>
      <w:tr>
        <w:tc>
          <w:tcPr/>
          <w:p>
            <w:pPr>
              <w:pStyle w:val="Compact"/>
              <w:jc w:val="left"/>
            </w:pPr>
            <w:r>
              <w:t xml:space="preserve">Upon successful onboarding of the Sales Executive</w:t>
            </w:r>
          </w:p>
        </w:tc>
        <w:tc>
          <w:tcPr/>
          <w:p>
            <w:pPr>
              <w:pStyle w:val="Compact"/>
              <w:jc w:val="left"/>
            </w:pPr>
            <w:r>
              <w:t xml:space="preserve">30%</w:t>
            </w:r>
          </w:p>
        </w:tc>
        <w:tc>
          <w:tcPr/>
          <w:p>
            <w:pPr>
              <w:pStyle w:val="Compact"/>
              <w:jc w:val="left"/>
            </w:pPr>
            <w:r>
              <w:t xml:space="preserve">16,851</w:t>
            </w:r>
          </w:p>
        </w:tc>
        <w:tc>
          <w:tcPr/>
          <w:p>
            <w:pPr>
              <w:pStyle w:val="Compact"/>
              <w:jc w:val="left"/>
            </w:pPr>
            <w:r>
              <w:t xml:space="preserve">Within 10 business days of start date</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revalidation beyond this period will be subject to a revised pricing assessment reflecting current market conditions in</w:t>
      </w:r>
      <w:r>
        <w:t xml:space="preserve"> </w:t>
      </w:r>
      <w:r>
        <w:t xml:space="preserve">Israel Tel Aviv</w:t>
      </w:r>
      <w:r>
        <w:t xml:space="preserve">.</w:t>
      </w:r>
    </w:p>
    <w:p>
      <w:pPr>
        <w:numPr>
          <w:ilvl w:val="0"/>
          <w:numId w:val="1001"/>
        </w:numPr>
        <w:pStyle w:val="Compact"/>
      </w:pPr>
      <w:r>
        <w:t xml:space="preserve">All fees are quoted in Israeli New Shekels (ILS) and are inclusive of 18% VAT as mandated by the Israeli Tax Authority.</w:t>
      </w:r>
    </w:p>
    <w:p>
      <w:pPr>
        <w:numPr>
          <w:ilvl w:val="0"/>
          <w:numId w:val="1001"/>
        </w:numPr>
        <w:pStyle w:val="Compact"/>
      </w:pPr>
      <w:r>
        <w:t xml:space="preserve">The</w:t>
      </w:r>
      <w:r>
        <w:t xml:space="preserve"> </w:t>
      </w:r>
      <w:r>
        <w:t xml:space="preserve">Sales Executive</w:t>
      </w:r>
      <w:r>
        <w:t xml:space="preserve"> </w:t>
      </w:r>
      <w:r>
        <w:t xml:space="preserve">placement is guaranteed for a period of ninety (90) days. Should the appointed candidate resign or be terminated for cause within this period, our firm will, at no additional cost, initiate a replacement search for a new</w:t>
      </w:r>
      <w:r>
        <w:t xml:space="preserve"> </w:t>
      </w:r>
      <w:r>
        <w:t xml:space="preserve">Sales Executive</w:t>
      </w:r>
      <w:r>
        <w:t xml:space="preserve"> </w:t>
      </w:r>
      <w:r>
        <w:t xml:space="preserve">candidate in</w:t>
      </w:r>
      <w:r>
        <w:t xml:space="preserve"> </w:t>
      </w:r>
      <w:r>
        <w:t xml:space="preserve">Israel Tel Aviv</w:t>
      </w:r>
      <w:r>
        <w:t xml:space="preserve">.</w:t>
      </w:r>
    </w:p>
    <w:p>
      <w:pPr>
        <w:numPr>
          <w:ilvl w:val="0"/>
          <w:numId w:val="1001"/>
        </w:numPr>
        <w:pStyle w:val="Compact"/>
      </w:pPr>
      <w:r>
        <w:t xml:space="preserve">Payment is due via bank transfer to the account specified on the accompanying invoice. Late payments will accrue interest at the rate prescribed by Israeli law (currently 1.5% per month).</w:t>
      </w:r>
    </w:p>
    <w:p>
      <w:pPr>
        <w:numPr>
          <w:ilvl w:val="0"/>
          <w:numId w:val="1001"/>
        </w:numPr>
        <w:pStyle w:val="Compact"/>
      </w:pPr>
      <w:r>
        <w:t xml:space="preserve">All candidate data will be handled in strict accordance with the Privacy Protection Law, 5741-1981, and the regulations of the Israeli Privacy Protection Authority.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Upon signature, all terms herein become incorporated into the master agreement.</w:t>
      </w:r>
    </w:p>
    <w:p>
      <w:pPr>
        <w:numPr>
          <w:ilvl w:val="0"/>
          <w:numId w:val="1001"/>
        </w:numPr>
        <w:pStyle w:val="Compact"/>
      </w:pPr>
      <w:r>
        <w:t xml:space="preserve">Our firm reserves the right to decline any candidate who does not meet the minimum qualifications outlined in the approved job specification for the</w:t>
      </w:r>
      <w:r>
        <w:t xml:space="preserve"> </w:t>
      </w:r>
      <w:r>
        <w:t xml:space="preserve">Sales Executive</w:t>
      </w:r>
      <w:r>
        <w:t xml:space="preserve"> </w:t>
      </w:r>
      <w:r>
        <w:t xml:space="preserve">position.</w:t>
      </w:r>
    </w:p>
    <w:p>
      <w:pPr>
        <w:numPr>
          <w:ilvl w:val="0"/>
          <w:numId w:val="1001"/>
        </w:numPr>
        <w:pStyle w:val="Compact"/>
      </w:pPr>
      <w:r>
        <w:t xml:space="preserve">Disputes arising from this engagement shall be resolved through mediation in Tel Aviv, and if unresolved, through the competent courts of</w:t>
      </w:r>
      <w:r>
        <w:t xml:space="preserve"> </w:t>
      </w:r>
      <w:r>
        <w:t xml:space="preserve">Israel Tel Aviv</w:t>
      </w:r>
      <w:r>
        <w:t xml:space="preserve">.</w:t>
      </w:r>
    </w:p>
    <w:bookmarkEnd w:id="25"/>
    <w:bookmarkStart w:id="26" w:name="assumptions-and-exclusions"/>
    <w:p>
      <w:pPr>
        <w:pStyle w:val="Heading2"/>
      </w:pPr>
      <w:r>
        <w:t xml:space="preserve">6. Assumptions and Exclusions</w:t>
      </w:r>
    </w:p>
    <w:p>
      <w:pPr>
        <w:pStyle w:val="FirstParagraph"/>
      </w:pPr>
      <w:r>
        <w:t xml:space="preserve">This</w:t>
      </w:r>
      <w:r>
        <w:t xml:space="preserve"> </w:t>
      </w:r>
      <w:r>
        <w:t xml:space="preserve">Quotation Estimate</w:t>
      </w:r>
      <w:r>
        <w:t xml:space="preserve"> </w:t>
      </w:r>
      <w:r>
        <w:t xml:space="preserve">assumes that the client will provide timely feedback (within 48 hours) on all candidate presentations. It does not include costs associated with relocation, visa sponsorship, or work permit processing should the</w:t>
      </w:r>
      <w:r>
        <w:t xml:space="preserve"> </w:t>
      </w:r>
      <w:r>
        <w:t xml:space="preserve">Sales Executive</w:t>
      </w:r>
      <w:r>
        <w:t xml:space="preserve"> </w:t>
      </w:r>
      <w:r>
        <w:t xml:space="preserve">candidate be a foreign national requiring authorization to work in</w:t>
      </w:r>
      <w:r>
        <w:t xml:space="preserve"> </w:t>
      </w:r>
      <w:r>
        <w:t xml:space="preserve">Israel Tel Aviv</w:t>
      </w:r>
      <w:r>
        <w:t xml:space="preserve">. Any such additional services will be quoted separately upon request.</w:t>
      </w:r>
    </w:p>
    <w:p>
      <w:pPr>
        <w:pStyle w:val="BodyText"/>
      </w:pPr>
      <w:r>
        <w:rPr>
          <w:bCs/>
          <w:b/>
        </w:rPr>
        <w:t xml:space="preserve">Acceptance of Quotation Estimate:</w:t>
      </w:r>
    </w:p>
    <w:p>
      <w:pPr>
        <w:pStyle w:val="BodyText"/>
      </w:pPr>
      <w:r>
        <w:t xml:space="preserve">By signing below, the client acknowledges and accepts all terms, conditions, and pricing outlined in this</w:t>
      </w:r>
      <w:r>
        <w:t xml:space="preserve"> </w:t>
      </w:r>
      <w:r>
        <w:t xml:space="preserve">Quotation Estimate</w:t>
      </w:r>
      <w:r>
        <w:t xml:space="preserve"> </w:t>
      </w:r>
      <w:r>
        <w:t xml:space="preserve">for the recruitment and placement of a</w:t>
      </w:r>
      <w:r>
        <w:t xml:space="preserve"> </w:t>
      </w:r>
      <w:r>
        <w:t xml:space="preserve">Sales Executive</w:t>
      </w:r>
      <w:r>
        <w:t xml:space="preserve"> </w:t>
      </w:r>
      <w:r>
        <w:t xml:space="preserve">in</w:t>
      </w:r>
      <w:r>
        <w:t xml:space="preserve"> </w:t>
      </w:r>
      <w:r>
        <w:t xml:space="preserve">Israel Tel Aviv</w:t>
      </w:r>
      <w:r>
        <w:t xml:space="preserve">. This acceptance authorizes our firm to commence the recruitment process immediately upon receipt of the initial payment.</w:t>
      </w:r>
    </w:p>
    <w:p>
      <w:pPr>
        <w:pStyle w:val="BodyText"/>
      </w:pPr>
      <w:r>
        <w:rPr>
          <w:bCs/>
          <w:b/>
        </w:rPr>
        <w:t xml:space="preserve">For Meridian Technologies Ltd.</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Professional Recruitment &amp; Staffing Services</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QE-2025-TLV-0347 | Sales Executive | Israel Tel Aviv</w:t>
      </w:r>
    </w:p>
    <w:p>
      <w:pPr>
        <w:pStyle w:val="BodyText"/>
      </w:pPr>
      <w:r>
        <w:t xml:space="preserve">This document is generated electronically and is valid without a physical signature. For inquiries, contact quotes@talentplacement.co.il</w:t>
      </w:r>
    </w:p>
    <w:p>
      <w:pPr>
        <w:pStyle w:val="BodyText"/>
      </w:pPr>
      <w:r>
        <w:t xml:space="preserve">© 2025 Professional Recruitment &amp; Staffing Services, Tel Aviv-Yafo, Israel.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Israel Tel Aviv</dc:title>
  <dc:creator/>
  <dc:language>en</dc:language>
  <cp:keywords/>
  <dcterms:created xsi:type="dcterms:W3CDTF">2026-10-10T09:30:53Z</dcterms:created>
  <dcterms:modified xsi:type="dcterms:W3CDTF">2026-10-10T09:30:53Z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