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Engagement of a Sales Executive — Japan Tokyo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QE-JT-2025-04782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Tokyo Talent Solutions K.K. — Human Capital Advisory Division</w:t>
            </w:r>
          </w:p>
        </w:tc>
      </w:tr>
      <w:tr>
        <w:tc>
          <w:tcPr/>
          <w:p>
            <w:pPr>
              <w:pStyle w:val="Compact"/>
              <w:jc w:val="left"/>
            </w:pPr>
            <w:r>
              <w:t xml:space="preserve">Prepared For</w:t>
            </w:r>
          </w:p>
        </w:tc>
        <w:tc>
          <w:tcPr/>
          <w:p>
            <w:pPr>
              <w:pStyle w:val="Compact"/>
              <w:jc w:val="left"/>
            </w:pPr>
            <w:r>
              <w:t xml:space="preserve">Meridian Global Trading Co., Ltd. — Head Office, Chiyoda-ku, Japan Tokyo</w:t>
            </w:r>
          </w:p>
        </w:tc>
      </w:tr>
      <w:tr>
        <w:tc>
          <w:tcPr/>
          <w:p>
            <w:pPr>
              <w:pStyle w:val="Compact"/>
              <w:jc w:val="left"/>
            </w:pPr>
            <w:r>
              <w:t xml:space="preserve">Position</w:t>
            </w:r>
          </w:p>
        </w:tc>
        <w:tc>
          <w:tcPr/>
          <w:p>
            <w:pPr>
              <w:pStyle w:val="Compact"/>
              <w:jc w:val="left"/>
            </w:pPr>
            <w:r>
              <w:t xml:space="preserve">Sales Executive</w:t>
            </w:r>
            <w:r>
              <w:t xml:space="preserve"> </w:t>
            </w:r>
            <w:r>
              <w:t xml:space="preserve">— Japan Tokyo Metropolitan Area</w:t>
            </w:r>
          </w:p>
        </w:tc>
      </w:tr>
      <w:tr>
        <w:tc>
          <w:tcPr/>
          <w:p>
            <w:pPr>
              <w:pStyle w:val="Compact"/>
              <w:jc w:val="left"/>
            </w:pPr>
            <w:r>
              <w:t xml:space="preserve">Currency</w:t>
            </w:r>
          </w:p>
        </w:tc>
        <w:tc>
          <w:tcPr/>
          <w:p>
            <w:pPr>
              <w:pStyle w:val="Compact"/>
              <w:jc w:val="left"/>
            </w:pPr>
            <w:r>
              <w:t xml:space="preserve">Japanese Yen (JPY)</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Tokyo Talent Solutions K.K. in response to the formal request submitted by Meridian Global Trading Co., Ltd. for the recruitment, onboarding, and first-year professional engagement of a qualified</w:t>
      </w:r>
      <w:r>
        <w:t xml:space="preserve"> </w:t>
      </w:r>
      <w:r>
        <w:t xml:space="preserve">Sales Executive</w:t>
      </w:r>
      <w:r>
        <w:t xml:space="preserve"> </w:t>
      </w:r>
      <w:r>
        <w:t xml:space="preserve">to operate within the</w:t>
      </w:r>
      <w:r>
        <w:t xml:space="preserve"> </w:t>
      </w:r>
      <w:r>
        <w:t xml:space="preserve">Japan Tokyo</w:t>
      </w:r>
      <w:r>
        <w:t xml:space="preserve"> </w:t>
      </w:r>
      <w:r>
        <w:t xml:space="preserve">metropolitan market. This document outlines the complete cost structure, deliverables, service inclusions, and contractual terms governing the proposed engagement. All figures presented herein are estimates based on current market conditions in Japan Tokyo as of the date of issue and are subject to the validity period stated above.</w:t>
      </w:r>
    </w:p>
    <w:p>
      <w:pPr>
        <w:pStyle w:val="BodyText"/>
      </w:pPr>
      <w:r>
        <w:t xml:space="preserve">The</w:t>
      </w:r>
      <w:r>
        <w:t xml:space="preserve"> </w:t>
      </w:r>
      <w:r>
        <w:t xml:space="preserve">Sales Executive</w:t>
      </w:r>
      <w:r>
        <w:t xml:space="preserve"> </w:t>
      </w:r>
      <w:r>
        <w:t xml:space="preserve">role described in this</w:t>
      </w:r>
      <w:r>
        <w:t xml:space="preserve"> </w:t>
      </w:r>
      <w:r>
        <w:t xml:space="preserve">Quotation Estimate</w:t>
      </w:r>
      <w:r>
        <w:t xml:space="preserve"> </w:t>
      </w:r>
      <w:r>
        <w:t xml:space="preserve">is specifically tailored to the competitive commercial landscape of Japan Tokyo, where client relationship management, multilingual negotiation, and deep understanding of local business customs (including keiretsu networks and regional trade associations) are essential competencies. The candidate profile and compensation structure reflect the premium talent market prevailing in central Japan Tokyo districts including Chiyoda, Minato, and Shinjuku.</w:t>
      </w:r>
    </w:p>
    <w:bookmarkEnd w:id="21"/>
    <w:bookmarkStart w:id="22" w:name="scope-of-services-included"/>
    <w:p>
      <w:pPr>
        <w:pStyle w:val="Heading2"/>
      </w:pPr>
      <w:r>
        <w:t xml:space="preserve">2. Scope of Services Included</w:t>
      </w:r>
    </w:p>
    <w:p>
      <w:pPr>
        <w:numPr>
          <w:ilvl w:val="0"/>
          <w:numId w:val="1001"/>
        </w:numPr>
        <w:pStyle w:val="Compact"/>
      </w:pPr>
      <w:r>
        <w:rPr>
          <w:bCs/>
          <w:b/>
        </w:rPr>
        <w:t xml:space="preserve">Executive Search &amp; Sourcing:</w:t>
      </w:r>
      <w:r>
        <w:t xml:space="preserve"> </w:t>
      </w:r>
      <w:r>
        <w:t xml:space="preserve">Identification, screening, and shortlisting of a minimum of five (5) qualified</w:t>
      </w:r>
      <w:r>
        <w:t xml:space="preserve"> </w:t>
      </w:r>
      <w:r>
        <w:t xml:space="preserve">Sales Executive</w:t>
      </w:r>
      <w:r>
        <w:t xml:space="preserve"> </w:t>
      </w:r>
      <w:r>
        <w:t xml:space="preserve">candidates with demonstrated experience in the Japan Tokyo B2B and B2C commercial sectors.</w:t>
      </w:r>
    </w:p>
    <w:p>
      <w:pPr>
        <w:numPr>
          <w:ilvl w:val="0"/>
          <w:numId w:val="1001"/>
        </w:numPr>
        <w:pStyle w:val="Compact"/>
      </w:pPr>
      <w:r>
        <w:rPr>
          <w:bCs/>
          <w:b/>
        </w:rPr>
        <w:t xml:space="preserve">Assessment &amp; Vetting:</w:t>
      </w:r>
      <w:r>
        <w:t xml:space="preserve"> </w:t>
      </w:r>
      <w:r>
        <w:t xml:space="preserve">Comprehensive competency assessments including structured interviews, role-play sales simulations in Japanese and English, background verification, and reference checks specific to Japan Tokyo professional networks.</w:t>
      </w:r>
    </w:p>
    <w:p>
      <w:pPr>
        <w:numPr>
          <w:ilvl w:val="0"/>
          <w:numId w:val="1001"/>
        </w:numPr>
        <w:pStyle w:val="Compact"/>
      </w:pPr>
      <w:r>
        <w:rPr>
          <w:bCs/>
          <w:b/>
        </w:rPr>
        <w:t xml:space="preserve">Compensation Benchmarking:</w:t>
      </w:r>
      <w:r>
        <w:t xml:space="preserve"> </w:t>
      </w:r>
      <w:r>
        <w:t xml:space="preserve">Market-rate analysis for</w:t>
      </w:r>
      <w:r>
        <w:t xml:space="preserve"> </w:t>
      </w:r>
      <w:r>
        <w:t xml:space="preserve">Sales Executive</w:t>
      </w:r>
      <w:r>
        <w:t xml:space="preserve"> </w:t>
      </w:r>
      <w:r>
        <w:t xml:space="preserve">positions in Japan Tokyo, incorporating base salary, performance bonuses, transportation allowances, and housing subsidies consistent with Tokyo metropolitan standards.</w:t>
      </w:r>
    </w:p>
    <w:p>
      <w:pPr>
        <w:numPr>
          <w:ilvl w:val="0"/>
          <w:numId w:val="1001"/>
        </w:numPr>
        <w:pStyle w:val="Compact"/>
      </w:pPr>
      <w:r>
        <w:rPr>
          <w:bCs/>
          <w:b/>
        </w:rPr>
        <w:t xml:space="preserve">Onboarding &amp; Integration:</w:t>
      </w:r>
      <w:r>
        <w:t xml:space="preserve"> </w:t>
      </w:r>
      <w:r>
        <w:t xml:space="preserve">A 90-day structured onboarding programme covering Japan Tokyo commercial regulations, client portfolio transfer, CRM system training, and cultural integration for the newly appointed</w:t>
      </w:r>
      <w:r>
        <w:t xml:space="preserve"> </w:t>
      </w:r>
      <w:r>
        <w:t xml:space="preserve">Sales Executive</w:t>
      </w:r>
      <w:r>
        <w:t xml:space="preserve">.</w:t>
      </w:r>
    </w:p>
    <w:p>
      <w:pPr>
        <w:numPr>
          <w:ilvl w:val="0"/>
          <w:numId w:val="1001"/>
        </w:numPr>
        <w:pStyle w:val="Compact"/>
      </w:pPr>
      <w:r>
        <w:rPr>
          <w:bCs/>
          <w:b/>
        </w:rPr>
        <w:t xml:space="preserve">Performance Monitoring:</w:t>
      </w:r>
      <w:r>
        <w:t xml:space="preserve"> </w:t>
      </w:r>
      <w:r>
        <w:t xml:space="preserve">Quarterly performance reviews during the first 12 months, with KPIs aligned to Japan Tokyo regional sales targets and market penetration objectives.</w:t>
      </w:r>
    </w:p>
    <w:p>
      <w:pPr>
        <w:numPr>
          <w:ilvl w:val="0"/>
          <w:numId w:val="1001"/>
        </w:numPr>
        <w:pStyle w:val="Compact"/>
      </w:pPr>
      <w:r>
        <w:rPr>
          <w:bCs/>
          <w:b/>
        </w:rPr>
        <w:t xml:space="preserve">Contract Administration:</w:t>
      </w:r>
      <w:r>
        <w:t xml:space="preserve"> </w:t>
      </w:r>
      <w:r>
        <w:t xml:space="preserve">Preparation and legal review of the employment contract, non-compete clauses, and intellectual property agreements compliant with Japanese Labour Standards Act and Japan Tokyo municipal regulations.</w:t>
      </w:r>
    </w:p>
    <w:bookmarkEnd w:id="22"/>
    <w:bookmarkStart w:id="23" w:name="Xdd7e3d9c29c0a74c99d71f08dab5ad697d8cf89"/>
    <w:p>
      <w:pPr>
        <w:pStyle w:val="Heading2"/>
      </w:pPr>
      <w:r>
        <w:t xml:space="preserve">3. Cost Breakdown — Quotation Estimate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Estimated Cost (JPY)</w:t>
            </w:r>
          </w:p>
        </w:tc>
      </w:tr>
      <w:tr>
        <w:tc>
          <w:tcPr/>
          <w:p>
            <w:pPr>
              <w:pStyle w:val="Compact"/>
              <w:jc w:val="left"/>
            </w:pPr>
            <w:r>
              <w:t xml:space="preserve">Executive Search &amp; Sourcing Fee (one-time)</w:t>
            </w:r>
          </w:p>
        </w:tc>
        <w:tc>
          <w:tcPr/>
          <w:p>
            <w:pPr>
              <w:pStyle w:val="Compact"/>
              <w:jc w:val="left"/>
            </w:pPr>
            <w:r>
              <w:t xml:space="preserve">1 engagement</w:t>
            </w:r>
          </w:p>
        </w:tc>
        <w:tc>
          <w:tcPr/>
          <w:p>
            <w:pPr>
              <w:pStyle w:val="Compact"/>
              <w:jc w:val="left"/>
            </w:pPr>
            <w:r>
              <w:t xml:space="preserve">1,200,000</w:t>
            </w:r>
          </w:p>
        </w:tc>
      </w:tr>
      <w:tr>
        <w:tc>
          <w:tcPr/>
          <w:p>
            <w:pPr>
              <w:pStyle w:val="Compact"/>
              <w:jc w:val="left"/>
            </w:pPr>
            <w:r>
              <w:t xml:space="preserve">Assessment &amp; Vetting Package</w:t>
            </w:r>
          </w:p>
        </w:tc>
        <w:tc>
          <w:tcPr/>
          <w:p>
            <w:pPr>
              <w:pStyle w:val="Compact"/>
              <w:jc w:val="left"/>
            </w:pPr>
            <w:r>
              <w:t xml:space="preserve">5 candidates</w:t>
            </w:r>
          </w:p>
        </w:tc>
        <w:tc>
          <w:tcPr/>
          <w:p>
            <w:pPr>
              <w:pStyle w:val="Compact"/>
              <w:jc w:val="left"/>
            </w:pPr>
            <w:r>
              <w:t xml:space="preserve">450,000</w:t>
            </w:r>
          </w:p>
        </w:tc>
      </w:tr>
      <w:tr>
        <w:tc>
          <w:tcPr/>
          <w:p>
            <w:pPr>
              <w:pStyle w:val="Compact"/>
              <w:jc w:val="left"/>
            </w:pPr>
            <w:r>
              <w:t xml:space="preserve">Compensation Benchmarking Report (Japan Tokyo market)</w:t>
            </w:r>
          </w:p>
        </w:tc>
        <w:tc>
          <w:tcPr/>
          <w:p>
            <w:pPr>
              <w:pStyle w:val="Compact"/>
              <w:jc w:val="left"/>
            </w:pPr>
            <w:r>
              <w:t xml:space="preserve">1 report</w:t>
            </w:r>
          </w:p>
        </w:tc>
        <w:tc>
          <w:tcPr/>
          <w:p>
            <w:pPr>
              <w:pStyle w:val="Compact"/>
              <w:jc w:val="left"/>
            </w:pPr>
            <w:r>
              <w:t xml:space="preserve">180,000</w:t>
            </w:r>
          </w:p>
        </w:tc>
      </w:tr>
      <w:tr>
        <w:tc>
          <w:tcPr/>
          <w:p>
            <w:pPr>
              <w:pStyle w:val="Compact"/>
              <w:jc w:val="left"/>
            </w:pPr>
            <w:r>
              <w:t xml:space="preserve">90-Day Onboarding &amp; Integration Programme</w:t>
            </w:r>
          </w:p>
        </w:tc>
        <w:tc>
          <w:tcPr/>
          <w:p>
            <w:pPr>
              <w:pStyle w:val="Compact"/>
              <w:jc w:val="left"/>
            </w:pPr>
            <w:r>
              <w:t xml:space="preserve">1</w:t>
            </w:r>
            <w:r>
              <w:t xml:space="preserve"> </w:t>
            </w:r>
            <w:r>
              <w:t xml:space="preserve">Sales Executive</w:t>
            </w:r>
          </w:p>
        </w:tc>
        <w:tc>
          <w:tcPr/>
          <w:p>
            <w:pPr>
              <w:pStyle w:val="Compact"/>
              <w:jc w:val="left"/>
            </w:pPr>
            <w:r>
              <w:t xml:space="preserve">720,000</w:t>
            </w:r>
          </w:p>
        </w:tc>
      </w:tr>
      <w:tr>
        <w:tc>
          <w:tcPr/>
          <w:p>
            <w:pPr>
              <w:pStyle w:val="Compact"/>
              <w:jc w:val="left"/>
            </w:pPr>
            <w:r>
              <w:t xml:space="preserve">Quarterly Performance Monitoring (4 quarters, Year 1)</w:t>
            </w:r>
          </w:p>
        </w:tc>
        <w:tc>
          <w:tcPr/>
          <w:p>
            <w:pPr>
              <w:pStyle w:val="Compact"/>
              <w:jc w:val="left"/>
            </w:pPr>
            <w:r>
              <w:t xml:space="preserve">4 reviews</w:t>
            </w:r>
          </w:p>
        </w:tc>
        <w:tc>
          <w:tcPr/>
          <w:p>
            <w:pPr>
              <w:pStyle w:val="Compact"/>
              <w:jc w:val="left"/>
            </w:pPr>
            <w:r>
              <w:t xml:space="preserve">360,000</w:t>
            </w:r>
          </w:p>
        </w:tc>
      </w:tr>
      <w:tr>
        <w:tc>
          <w:tcPr/>
          <w:p>
            <w:pPr>
              <w:pStyle w:val="Compact"/>
              <w:jc w:val="left"/>
            </w:pPr>
            <w:r>
              <w:t xml:space="preserve">Contract Administration &amp; Legal Review</w:t>
            </w:r>
          </w:p>
        </w:tc>
        <w:tc>
          <w:tcPr/>
          <w:p>
            <w:pPr>
              <w:pStyle w:val="Compact"/>
              <w:jc w:val="left"/>
            </w:pPr>
            <w:r>
              <w:t xml:space="preserve">1 engagement</w:t>
            </w:r>
          </w:p>
        </w:tc>
        <w:tc>
          <w:tcPr/>
          <w:p>
            <w:pPr>
              <w:pStyle w:val="Compact"/>
              <w:jc w:val="left"/>
            </w:pPr>
            <w:r>
              <w:t xml:space="preserve">280,000</w:t>
            </w:r>
          </w:p>
        </w:tc>
      </w:tr>
      <w:tr>
        <w:tc>
          <w:tcPr/>
          <w:p>
            <w:pPr>
              <w:pStyle w:val="Compact"/>
              <w:jc w:val="left"/>
            </w:pPr>
            <w:r>
              <w:t xml:space="preserve">Contingency &amp; Administrative Overhead (10%)</w:t>
            </w:r>
          </w:p>
        </w:tc>
        <w:tc>
          <w:tcPr/>
          <w:p>
            <w:pPr>
              <w:pStyle w:val="Compact"/>
              <w:jc w:val="left"/>
            </w:pPr>
            <w:r>
              <w:t xml:space="preserve">—</w:t>
            </w:r>
          </w:p>
        </w:tc>
        <w:tc>
          <w:tcPr/>
          <w:p>
            <w:pPr>
              <w:pStyle w:val="Compact"/>
              <w:jc w:val="left"/>
            </w:pPr>
            <w:r>
              <w:t xml:space="preserve">319,000</w:t>
            </w:r>
          </w:p>
        </w:tc>
      </w:tr>
      <w:tr>
        <w:tc>
          <w:tcPr>
            <w:gridSpan w:val="2"/>
          </w:tcPr>
          <w:p>
            <w:pPr>
              <w:pStyle w:val="Compact"/>
              <w:jc w:val="left"/>
            </w:pPr>
            <w:r>
              <w:t xml:space="preserve">TOTAL ESTIMATED COST (excluding consumption tax)</w:t>
            </w:r>
          </w:p>
        </w:tc>
        <w:tc>
          <w:tcPr/>
          <w:p>
            <w:pPr>
              <w:pStyle w:val="Compact"/>
              <w:jc w:val="left"/>
            </w:pPr>
            <w:r>
              <w:t xml:space="preserve">3,509,000</w:t>
            </w:r>
          </w:p>
        </w:tc>
      </w:tr>
      <w:tr>
        <w:tc>
          <w:tcPr>
            <w:gridSpan w:val="2"/>
          </w:tcPr>
          <w:p>
            <w:pPr>
              <w:pStyle w:val="Compact"/>
              <w:jc w:val="left"/>
            </w:pPr>
            <w:r>
              <w:t xml:space="preserve">Consumption Tax (10%)</w:t>
            </w:r>
          </w:p>
        </w:tc>
        <w:tc>
          <w:tcPr/>
          <w:p>
            <w:pPr>
              <w:pStyle w:val="Compact"/>
              <w:jc w:val="left"/>
            </w:pPr>
            <w:r>
              <w:t xml:space="preserve">350,900</w:t>
            </w:r>
          </w:p>
        </w:tc>
      </w:tr>
      <w:tr>
        <w:tc>
          <w:tcPr>
            <w:gridSpan w:val="2"/>
          </w:tcPr>
          <w:p>
            <w:pPr>
              <w:pStyle w:val="Compact"/>
              <w:jc w:val="left"/>
            </w:pPr>
            <w:r>
              <w:t xml:space="preserve">GRAND TOTAL (JPY)</w:t>
            </w:r>
          </w:p>
        </w:tc>
        <w:tc>
          <w:tcPr/>
          <w:p>
            <w:pPr>
              <w:pStyle w:val="Compact"/>
              <w:jc w:val="left"/>
            </w:pPr>
            <w:r>
              <w:t xml:space="preserve">3,859,900</w:t>
            </w:r>
          </w:p>
        </w:tc>
      </w:tr>
    </w:tbl>
    <w:bookmarkEnd w:id="23"/>
    <w:bookmarkStart w:id="24" w:name="Xeef6c28310032374e17dd593c3d4a6d7deef022"/>
    <w:p>
      <w:pPr>
        <w:pStyle w:val="Heading2"/>
      </w:pPr>
      <w:r>
        <w:t xml:space="preserve">4. Proposed Compensation Structure for the Sales Executive</w:t>
      </w:r>
    </w:p>
    <w:p>
      <w:pPr>
        <w:pStyle w:val="FirstParagraph"/>
      </w:pPr>
      <w:r>
        <w:t xml:space="preserve">Based on prevailing market rates for a mid-to-senior level</w:t>
      </w:r>
      <w:r>
        <w:t xml:space="preserve"> </w:t>
      </w:r>
      <w:r>
        <w:t xml:space="preserve">Sales Executive</w:t>
      </w:r>
      <w:r>
        <w:t xml:space="preserve"> </w:t>
      </w:r>
      <w:r>
        <w:t xml:space="preserve">in Japan Tokyo, the recommended annual compensation package is as follows: Base salary of JPY 7,200,000 (paid monthly), annual performance bonus of 2–4 months' salary contingent on Japan Tokyo regional revenue targets, transportation allowance of JPY 50,000 per month, and a one-time housing relocation subsidy of JPY 300,000 for candidates relocating to the Japan Tokyo area. These figures are estimates and will be finalised upon candidate selection.</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all costs are subject to revision based on updated Japan Tokyo market conditions.</w:t>
      </w:r>
    </w:p>
    <w:p>
      <w:pPr>
        <w:pStyle w:val="BodyText"/>
      </w:pPr>
      <w:r>
        <w:rPr>
          <w:bCs/>
          <w:b/>
        </w:rPr>
        <w:t xml:space="preserve">5.2</w:t>
      </w:r>
      <w:r>
        <w:t xml:space="preserve"> </w:t>
      </w:r>
      <w:r>
        <w:t xml:space="preserve">Payment terms: 40% upon acceptance of this</w:t>
      </w:r>
      <w:r>
        <w:t xml:space="preserve"> </w:t>
      </w:r>
      <w:r>
        <w:t xml:space="preserve">Quotation Estimate</w:t>
      </w:r>
      <w:r>
        <w:t xml:space="preserve">, 40% upon successful placement of the</w:t>
      </w:r>
      <w:r>
        <w:t xml:space="preserve"> </w:t>
      </w:r>
      <w:r>
        <w:t xml:space="preserve">Sales Executive</w:t>
      </w:r>
      <w:r>
        <w:t xml:space="preserve">, and 20% upon completion of the 90-day onboarding period.</w:t>
      </w:r>
    </w:p>
    <w:p>
      <w:pPr>
        <w:pStyle w:val="BodyText"/>
      </w:pPr>
      <w:r>
        <w:rPr>
          <w:bCs/>
          <w:b/>
        </w:rPr>
        <w:t xml:space="preserve">5.3</w:t>
      </w:r>
      <w:r>
        <w:t xml:space="preserve"> </w:t>
      </w:r>
      <w:r>
        <w:t xml:space="preserve">All services will be delivered in accordance with Japanese commercial law and applicable Japan Tokyo municipal regulations. Disputes shall be resolved through arbitration in Japan Tokyo under the rules of the Japan Commercial Arbitration Association.</w:t>
      </w:r>
    </w:p>
    <w:p>
      <w:pPr>
        <w:pStyle w:val="BodyText"/>
      </w:pPr>
      <w:r>
        <w:rPr>
          <w:bCs/>
          <w:b/>
        </w:rPr>
        <w:t xml:space="preserve">5.4</w:t>
      </w:r>
      <w:r>
        <w:t xml:space="preserve"> </w:t>
      </w:r>
      <w:r>
        <w:t xml:space="preserve">This</w:t>
      </w:r>
      <w:r>
        <w:t xml:space="preserve"> </w:t>
      </w:r>
      <w:r>
        <w:t xml:space="preserve">Quotation Estimate</w:t>
      </w:r>
      <w:r>
        <w:t xml:space="preserve"> </w:t>
      </w:r>
      <w:r>
        <w:t xml:space="preserve">does not constitute a binding employment contract. The final employment agreement for the</w:t>
      </w:r>
      <w:r>
        <w:t xml:space="preserve"> </w:t>
      </w:r>
      <w:r>
        <w:t xml:space="preserve">Sales Executive</w:t>
      </w:r>
      <w:r>
        <w:t xml:space="preserve"> </w:t>
      </w:r>
      <w:r>
        <w:t xml:space="preserve">will be executed separately between Meridian Global Trading Co., Ltd. and the selected candidate.</w:t>
      </w:r>
    </w:p>
    <w:p>
      <w:pPr>
        <w:pStyle w:val="BodyText"/>
      </w:pPr>
      <w:r>
        <w:rPr>
          <w:bCs/>
          <w:b/>
        </w:rPr>
        <w:t xml:space="preserve">5.5</w:t>
      </w:r>
      <w:r>
        <w:t xml:space="preserve"> </w:t>
      </w:r>
      <w:r>
        <w:t xml:space="preserve">Confidentiality: All information contained in this document is proprietary to Tokyo Talent Solutions K.K. and is intended solely for the use of Meridian Global Trading Co., Ltd. in relation to the Japan Tokyo</w:t>
      </w:r>
      <w:r>
        <w:t xml:space="preserve"> </w:t>
      </w:r>
      <w:r>
        <w:t xml:space="preserve">Sales Executive</w:t>
      </w:r>
      <w:r>
        <w:t xml:space="preserve"> </w:t>
      </w:r>
      <w:r>
        <w:t xml:space="preserve">engagement.</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a</w:t>
      </w:r>
      <w:r>
        <w:t xml:space="preserve"> </w:t>
      </w:r>
      <w:r>
        <w:t xml:space="preserve">Sales Executive</w:t>
      </w:r>
      <w:r>
        <w:t xml:space="preserve"> </w:t>
      </w:r>
      <w:r>
        <w:t xml:space="preserve">in the Japan Tokyo region. This acceptance does not obligate either party to proceed until a formal service agreement is executed.</w:t>
      </w:r>
    </w:p>
    <w:p>
      <w:pPr>
        <w:pStyle w:val="BodyText"/>
      </w:pPr>
      <w:r>
        <w:rPr>
          <w:bCs/>
          <w:b/>
        </w:rPr>
        <w:t xml:space="preserve">For Tokyo Talent Solutions K.K.</w:t>
      </w:r>
      <w:r>
        <w:br/>
      </w:r>
      <w:r>
        <w:t xml:space="preserve">Name: Kenji Watanabe</w:t>
      </w:r>
      <w:r>
        <w:br/>
      </w:r>
      <w:r>
        <w:t xml:space="preserve">Title: Director, Japan Tokyo Division</w:t>
      </w:r>
      <w:r>
        <w:br/>
      </w:r>
      <w:r>
        <w:t xml:space="preserve">Date: _______________</w:t>
      </w:r>
    </w:p>
    <w:p>
      <w:pPr>
        <w:pStyle w:val="BodyText"/>
      </w:pPr>
      <w:r>
        <w:rPr>
          <w:bCs/>
          <w:b/>
        </w:rPr>
        <w:t xml:space="preserve">For Meridian Global Trading Co., Ltd.</w:t>
      </w:r>
      <w:r>
        <w:br/>
      </w:r>
      <w:r>
        <w:t xml:space="preserve">Name: _______________________</w:t>
      </w:r>
      <w:r>
        <w:br/>
      </w:r>
      <w:r>
        <w:t xml:space="preserve">Title: _______________________</w:t>
      </w:r>
      <w:r>
        <w:br/>
      </w:r>
      <w:r>
        <w:t xml:space="preserve">Date: _______________</w:t>
      </w:r>
    </w:p>
    <w:p>
      <w:pPr>
        <w:pStyle w:val="BodyText"/>
      </w:pPr>
      <w:r>
        <w:t xml:space="preserve">Quotation Estimate No. QE-JT-2025-04782 — Sales Executive Engagement — Japan Tokyo — Page 1 of 1</w:t>
      </w:r>
      <w:r>
        <w:br/>
      </w:r>
      <w:r>
        <w:t xml:space="preserve">This document was generated by Tokyo Talent Solutions K.K., 1-2-3 Marunouchi, Chiyoda-ku, Japan Tokyo 100-0005, Japan.</w:t>
      </w:r>
      <w:r>
        <w:br/>
      </w:r>
      <w:r>
        <w:t xml:space="preserve">For inquiries, please contact: jt-division@tokyotalentsolutions.co.jp | +81-3-XXXX-XXXX</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Japan Tokyo</dc:title>
  <dc:creator/>
  <dc:language>en</dc:language>
  <cp:keywords/>
  <dcterms:created xsi:type="dcterms:W3CDTF">2026-10-10T09:14:35Z</dcterms:created>
  <dcterms:modified xsi:type="dcterms:W3CDTF">2026-10-10T09:14:35Z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