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States</w:t>
      </w:r>
      <w:r>
        <w:t xml:space="preserve"> </w:t>
      </w:r>
      <w:r>
        <w:t xml:space="preserve">Miami</w:t>
      </w:r>
    </w:p>
    <w:p>
      <w:pPr>
        <w:pStyle w:val="FirstParagraph"/>
      </w:pPr>
      <w:r>
        <w:t xml:space="preserve">QUOTATION ESTIMATE</w:t>
      </w:r>
    </w:p>
    <w:bookmarkStart w:id="20" w:name="quotation-estimate"/>
    <w:p>
      <w:pPr>
        <w:pStyle w:val="Heading1"/>
      </w:pPr>
      <w:r>
        <w:t xml:space="preserve">QUOTATION ESTIMATE</w:t>
      </w:r>
    </w:p>
    <w:p>
      <w:pPr>
        <w:pStyle w:val="FirstParagraph"/>
      </w:pPr>
      <w:r>
        <w:rPr>
          <w:bCs/>
          <w:b/>
        </w:rPr>
        <w:t xml:space="preserve">Professional Staffing &amp; Executive Recruitment Solutions</w:t>
      </w:r>
    </w:p>
    <w:p>
      <w:pPr>
        <w:pStyle w:val="BodyText"/>
      </w:pPr>
      <w:r>
        <w:t xml:space="preserve">1200 Brickell Avenue, Suite 2400, Miami, Florida 33131, United States</w:t>
      </w:r>
    </w:p>
    <w:p>
      <w:pPr>
        <w:pStyle w:val="BodyText"/>
      </w:pPr>
      <w:r>
        <w:t xml:space="preserve">Tel: +1 (305) 555-0142 | Email: quotations@miamistaffing.com</w:t>
      </w:r>
    </w:p>
    <w:bookmarkEnd w:id="20"/>
    <w:p>
      <w:pPr>
        <w:pStyle w:val="BodyText"/>
      </w:pPr>
      <w:r>
        <w:rPr>
          <w:bCs/>
          <w:b/>
        </w:rPr>
        <w:t xml:space="preserve">Quotation No.:</w:t>
      </w:r>
      <w:r>
        <w:t xml:space="preserve"> </w:t>
      </w:r>
      <w:r>
        <w:t xml:space="preserve">QE-2025-MIA-0487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United States Miami</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Atlantic Horizon Commercial Group, LLC</w:t>
            </w:r>
          </w:p>
        </w:tc>
      </w:tr>
      <w:tr>
        <w:tc>
          <w:tcPr/>
          <w:p>
            <w:pPr>
              <w:pStyle w:val="Compact"/>
              <w:jc w:val="left"/>
            </w:pPr>
            <w:r>
              <w:rPr>
                <w:bCs/>
                <w:b/>
              </w:rPr>
              <w:t xml:space="preserve">Address:</w:t>
            </w:r>
          </w:p>
        </w:tc>
        <w:tc>
          <w:tcPr/>
          <w:p>
            <w:pPr>
              <w:pStyle w:val="Compact"/>
              <w:jc w:val="left"/>
            </w:pPr>
            <w:r>
              <w:t xml:space="preserve">8500 Biscayne Boulevard, Miami, Florida 33138, United States</w:t>
            </w:r>
          </w:p>
        </w:tc>
      </w:tr>
      <w:tr>
        <w:tc>
          <w:tcPr/>
          <w:p>
            <w:pPr>
              <w:pStyle w:val="Compact"/>
              <w:jc w:val="left"/>
            </w:pPr>
            <w:r>
              <w:rPr>
                <w:bCs/>
                <w:b/>
              </w:rPr>
              <w:t xml:space="preserve">Contact Person:</w:t>
            </w:r>
          </w:p>
        </w:tc>
        <w:tc>
          <w:tcPr/>
          <w:p>
            <w:pPr>
              <w:pStyle w:val="Compact"/>
              <w:jc w:val="left"/>
            </w:pPr>
            <w:r>
              <w:t xml:space="preserve">Ms. Rebecca Torres, Director of Human Resources</w:t>
            </w:r>
          </w:p>
        </w:tc>
      </w:tr>
      <w:tr>
        <w:tc>
          <w:tcPr/>
          <w:p>
            <w:pPr>
              <w:pStyle w:val="Compact"/>
              <w:jc w:val="left"/>
            </w:pPr>
            <w:r>
              <w:rPr>
                <w:bCs/>
                <w:b/>
              </w:rPr>
              <w:t xml:space="preserve">Email:</w:t>
            </w:r>
          </w:p>
        </w:tc>
        <w:tc>
          <w:tcPr/>
          <w:p>
            <w:pPr>
              <w:pStyle w:val="Compact"/>
              <w:jc w:val="left"/>
            </w:pPr>
            <w:r>
              <w:t xml:space="preserve">r.torres@atlantichorizon.com</w:t>
            </w:r>
          </w:p>
        </w:tc>
      </w:tr>
    </w:tbl>
    <w:bookmarkEnd w:id="21"/>
    <w:bookmarkStart w:id="22" w:name="Xf1894ffd794295c63dc4047b35f7dd73defbe8f"/>
    <w:p>
      <w:pPr>
        <w:pStyle w:val="Heading2"/>
      </w:pPr>
      <w:r>
        <w:t xml:space="preserve">2. Scope of Services – Sales Executive Position</w:t>
      </w:r>
    </w:p>
    <w:p>
      <w:pPr>
        <w:pStyle w:val="FirstParagraph"/>
      </w:pPr>
      <w:r>
        <w:t xml:space="preserve">This</w:t>
      </w:r>
      <w:r>
        <w:t xml:space="preserve"> </w:t>
      </w:r>
      <w:r>
        <w:t xml:space="preserve">Quotation Estimate</w:t>
      </w:r>
      <w:r>
        <w:t xml:space="preserve"> </w:t>
      </w:r>
      <w:r>
        <w:t xml:space="preserve">is prepared in response to the formal request submitted by Atlantic Horizon Commercial Group, LLC for the recruitment, onboarding, and first-year engagement of a</w:t>
      </w:r>
      <w:r>
        <w:t xml:space="preserve"> </w:t>
      </w:r>
      <w:r>
        <w:t xml:space="preserve">Sales Executive</w:t>
      </w:r>
      <w:r>
        <w:t xml:space="preserve"> </w:t>
      </w:r>
      <w:r>
        <w:t xml:space="preserve">to be based in the</w:t>
      </w:r>
      <w:r>
        <w:t xml:space="preserve"> </w:t>
      </w:r>
      <w:r>
        <w:t xml:space="preserve">United States Miami</w:t>
      </w:r>
      <w:r>
        <w:t xml:space="preserve"> </w:t>
      </w:r>
      <w:r>
        <w:t xml:space="preserve">metropolitan area. The following scope outlines all professional services, compensation components, and associated costs that constitute this comprehensive staffing solution.</w:t>
      </w:r>
    </w:p>
    <w:p>
      <w:pPr>
        <w:pStyle w:val="BodyText"/>
      </w:pPr>
      <w:r>
        <w:t xml:space="preserve">The</w:t>
      </w:r>
      <w:r>
        <w:t xml:space="preserve"> </w:t>
      </w:r>
      <w:r>
        <w:t xml:space="preserve">Sales Executive</w:t>
      </w:r>
      <w:r>
        <w:t xml:space="preserve"> </w:t>
      </w:r>
      <w:r>
        <w:t xml:space="preserve">will be responsible for driving revenue growth across the South Florida commercial real estate portfolio, managing a pipeline of high-net-worth clients, conducting property presentations, negotiating multi-million-dollar transactions, and maintaining strategic relationships with institutional investors. The role requires a minimum of seven years of progressive sales experience in commercial real estate or a comparable high-value B2B sector, with a proven track record of exceeding annual revenue targets by at least fifteen percent.</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Annual Base Salary – Sales Executive (United States Miami market rate)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Performance-Based Commission Structure (12% of gross transaction value, estimated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Executive Health, Dental &amp; Vision Insurance (Miami, FL employer contribution)</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401(k) Retirement Plan Employer Match (5% of base salary)</w:t>
            </w:r>
          </w:p>
        </w:tc>
        <w:tc>
          <w:tcPr/>
          <w:p>
            <w:pPr>
              <w:pStyle w:val="Compact"/>
              <w:jc w:val="left"/>
            </w:pPr>
            <w:r>
              <w:t xml:space="preserve">Year</w:t>
            </w:r>
          </w:p>
        </w:tc>
        <w:tc>
          <w:tcPr/>
          <w:p>
            <w:pPr>
              <w:pStyle w:val="Compact"/>
              <w:jc w:val="left"/>
            </w:pPr>
            <w:r>
              <w:t xml:space="preserve">1</w:t>
            </w:r>
          </w:p>
        </w:tc>
        <w:tc>
          <w:tcPr/>
          <w:p>
            <w:pPr>
              <w:pStyle w:val="Compact"/>
              <w:jc w:val="left"/>
            </w:pPr>
            <w:r>
              <w:t xml:space="preserve">$7,250.00</w:t>
            </w:r>
          </w:p>
        </w:tc>
        <w:tc>
          <w:tcPr/>
          <w:p>
            <w:pPr>
              <w:pStyle w:val="Compact"/>
              <w:jc w:val="left"/>
            </w:pPr>
            <w:r>
              <w:t xml:space="preserve">$7,250.00</w:t>
            </w:r>
          </w:p>
        </w:tc>
      </w:tr>
      <w:tr>
        <w:tc>
          <w:tcPr/>
          <w:p>
            <w:pPr>
              <w:pStyle w:val="Compact"/>
              <w:jc w:val="left"/>
            </w:pPr>
            <w:r>
              <w:t xml:space="preserve">Recruitment &amp; Sourcing Fee (Executive search within United States Miami talent pool)</w:t>
            </w:r>
          </w:p>
        </w:tc>
        <w:tc>
          <w:tcPr/>
          <w:p>
            <w:pPr>
              <w:pStyle w:val="Compact"/>
              <w:jc w:val="left"/>
            </w:pPr>
            <w:r>
              <w:t xml:space="preserve">Flat</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Onboarding, Background Check &amp; Compliance Processing (Florida state requirements)</w:t>
            </w:r>
          </w:p>
        </w:tc>
        <w:tc>
          <w:tcPr/>
          <w:p>
            <w:pPr>
              <w:pStyle w:val="Compact"/>
              <w:jc w:val="left"/>
            </w:pPr>
            <w:r>
              <w:t xml:space="preserve">Flat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Professional Development &amp; Industry Certification (NAR, CIPS, Miami REA membership)</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Company-Issued Vehicle Allowance (Sales Executive field operations, Miami-Dade County)</w:t>
            </w:r>
          </w:p>
        </w:tc>
        <w:tc>
          <w:tcPr/>
          <w:p>
            <w:pPr>
              <w:pStyle w:val="Compact"/>
              <w:jc w:val="left"/>
            </w:pPr>
            <w:r>
              <w:t xml:space="preserve">Year</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Technology &amp; CRM Software License (Salesforce Enterprise, mobile devices)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Relocation &amp; Transition Stipend (if applicable from outside United States Miami)</w:t>
            </w:r>
          </w:p>
        </w:tc>
        <w:tc>
          <w:tcPr/>
          <w:p>
            <w:pPr>
              <w:pStyle w:val="Compact"/>
              <w:jc w:val="left"/>
            </w:pPr>
            <w:r>
              <w:t xml:space="preserve">Flat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rPr>
                <w:bCs/>
                <w:b/>
              </w:rPr>
              <w:t xml:space="preserve">GRAND TOTAL – FIRST YEAR ENGAGEMENT</w:t>
            </w:r>
          </w:p>
        </w:tc>
        <w:tc>
          <w:tcPr/>
          <w:p>
            <w:pPr>
              <w:pStyle w:val="Compact"/>
              <w:jc w:val="left"/>
            </w:pPr>
            <w:r>
              <w:rPr>
                <w:bCs/>
                <w:b/>
              </w:rPr>
              <w:t xml:space="preserve">$300,500.00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issuance. After the expiration date, all pricing and compensation figures are subject to revision based on current United States Miami labor market conditions.</w:t>
      </w:r>
    </w:p>
    <w:p>
      <w:pPr>
        <w:numPr>
          <w:ilvl w:val="0"/>
          <w:numId w:val="1001"/>
        </w:numPr>
        <w:pStyle w:val="Compact"/>
      </w:pPr>
      <w:r>
        <w:rPr>
          <w:bCs/>
          <w:b/>
        </w:rPr>
        <w:t xml:space="preserve">Payment Schedule:</w:t>
      </w:r>
      <w:r>
        <w:t xml:space="preserve"> </w:t>
      </w:r>
      <w:r>
        <w:t xml:space="preserve">The recruitment and sourcing fee of $22,500.00 is due within fifteen (15) business days of acceptance. The onboarding and compliance processing fee of $3,200.00 is due upon successful completion of the background check. All remaining compensation items are disbursed on a monthly payroll cycle in accordance with Florida state wage payment statutes.</w:t>
      </w:r>
    </w:p>
    <w:p>
      <w:pPr>
        <w:numPr>
          <w:ilvl w:val="0"/>
          <w:numId w:val="1001"/>
        </w:numPr>
        <w:pStyle w:val="Compact"/>
      </w:pPr>
      <w:r>
        <w:rPr>
          <w:bCs/>
          <w:b/>
        </w:rPr>
        <w:t xml:space="preserve">Commission Structure:</w:t>
      </w:r>
      <w:r>
        <w:t xml:space="preserve"> </w:t>
      </w:r>
      <w:r>
        <w:t xml:space="preserve">The performance-based commission for the</w:t>
      </w:r>
      <w:r>
        <w:t xml:space="preserve"> </w:t>
      </w:r>
      <w:r>
        <w:t xml:space="preserve">Sales Executive</w:t>
      </w:r>
      <w:r>
        <w:t xml:space="preserve"> </w:t>
      </w:r>
      <w:r>
        <w:t xml:space="preserve">is calculated at twelve percent (12%) of the gross transaction value for all closed deals exceeding $500,000. Commissions are paid quarterly, within thirty (30) days of the close of each fiscal quarter.</w:t>
      </w:r>
    </w:p>
    <w:p>
      <w:pPr>
        <w:numPr>
          <w:ilvl w:val="0"/>
          <w:numId w:val="1001"/>
        </w:numPr>
        <w:pStyle w:val="Compact"/>
      </w:pPr>
      <w:r>
        <w:rPr>
          <w:bCs/>
          <w:b/>
        </w:rPr>
        <w:t xml:space="preserve">Probationary Period:</w:t>
      </w:r>
      <w:r>
        <w:t xml:space="preserve"> </w:t>
      </w:r>
      <w:r>
        <w:t xml:space="preserve">The</w:t>
      </w:r>
      <w:r>
        <w:t xml:space="preserve"> </w:t>
      </w:r>
      <w:r>
        <w:t xml:space="preserve">Sales Executive</w:t>
      </w:r>
      <w:r>
        <w:t xml:space="preserve"> </w:t>
      </w:r>
      <w:r>
        <w:t xml:space="preserve">shall serve a ninety (90) day probationary period. During this period, the base salary remains unchanged, but the commission structure is reduced to eight percent (8%) until full performance benchmarks are met.</w:t>
      </w:r>
    </w:p>
    <w:p>
      <w:pPr>
        <w:numPr>
          <w:ilvl w:val="0"/>
          <w:numId w:val="1001"/>
        </w:numPr>
        <w:pStyle w:val="Compact"/>
      </w:pPr>
      <w:r>
        <w:rPr>
          <w:bCs/>
          <w:b/>
        </w:rPr>
        <w:t xml:space="preserve">Non-Compete &amp; Confidentiality:</w:t>
      </w:r>
      <w:r>
        <w:t xml:space="preserve"> </w:t>
      </w:r>
      <w:r>
        <w:t xml:space="preserve">As a condition of employment in the</w:t>
      </w:r>
      <w:r>
        <w:t xml:space="preserve"> </w:t>
      </w:r>
      <w:r>
        <w:t xml:space="preserve">United States Miami</w:t>
      </w:r>
      <w:r>
        <w:t xml:space="preserve"> </w:t>
      </w:r>
      <w:r>
        <w:t xml:space="preserve">commercial real estate sector, the</w:t>
      </w:r>
      <w:r>
        <w:t xml:space="preserve"> </w:t>
      </w:r>
      <w:r>
        <w:t xml:space="preserve">Sales Executive</w:t>
      </w:r>
      <w:r>
        <w:t xml:space="preserve"> </w:t>
      </w:r>
      <w:r>
        <w:t xml:space="preserve">shall execute a mutual non-compete agreement with a geographic radius of twenty-five (25) miles from the primary office location and a duration of twelve (12) months post-termination, in compliance with Florida Statutes Chapter 542.</w:t>
      </w:r>
    </w:p>
    <w:p>
      <w:pPr>
        <w:numPr>
          <w:ilvl w:val="0"/>
          <w:numId w:val="1001"/>
        </w:numPr>
        <w:pStyle w:val="Compact"/>
      </w:pPr>
      <w:r>
        <w:rPr>
          <w:bCs/>
          <w:b/>
        </w:rPr>
        <w:t xml:space="preserve">Taxes &amp; Withholding:</w:t>
      </w:r>
      <w:r>
        <w:t xml:space="preserve"> </w:t>
      </w:r>
      <w:r>
        <w:t xml:space="preserve">All compensation figures stated in this</w:t>
      </w:r>
      <w:r>
        <w:t xml:space="preserve"> </w:t>
      </w:r>
      <w:r>
        <w:t xml:space="preserve">Quotation Estimate</w:t>
      </w:r>
      <w:r>
        <w:t xml:space="preserve"> </w:t>
      </w:r>
      <w:r>
        <w:t xml:space="preserve">are gross amounts before applicable federal, state (Florida), and local tax withholdings. The client employer is responsible for all statutory tax obligations as mandated by the Internal Revenue Service and the Florida Department of Revenue.</w:t>
      </w:r>
    </w:p>
    <w:p>
      <w:pPr>
        <w:numPr>
          <w:ilvl w:val="0"/>
          <w:numId w:val="1001"/>
        </w:numPr>
        <w:pStyle w:val="Compact"/>
      </w:pPr>
      <w:r>
        <w:rPr>
          <w:bCs/>
          <w:b/>
        </w:rPr>
        <w:t xml:space="preserve">Termination:</w:t>
      </w:r>
      <w:r>
        <w:t xml:space="preserve"> </w:t>
      </w:r>
      <w:r>
        <w:t xml:space="preserve">Either party may terminate the engagement with thirty (30) days written notice. In the event of termination for cause, no further compensation beyond earned and unpaid amounts shall be owed.</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employment agreement shall be governed by and construed in accordance with the laws of the State of Florida, United States, with jurisdiction residing in Miami-Dade County.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compensation structure outlined herein for the engagement of a</w:t>
      </w:r>
      <w:r>
        <w:t xml:space="preserve"> </w:t>
      </w:r>
      <w:r>
        <w:t xml:space="preserve">Sales Executive</w:t>
      </w:r>
      <w:r>
        <w:t xml:space="preserve"> </w:t>
      </w:r>
      <w:r>
        <w:t xml:space="preserve">in the</w:t>
      </w:r>
      <w:r>
        <w:t xml:space="preserve"> </w:t>
      </w:r>
      <w:r>
        <w:t xml:space="preserve">United States Miami</w:t>
      </w:r>
      <w:r>
        <w:t xml:space="preserve"> </w:t>
      </w:r>
      <w:r>
        <w:t xml:space="preserve">region. This document does not constitute a binding employment contract until a separate, formal employment agreement is executed by both parties.</w:t>
      </w:r>
    </w:p>
    <w:p>
      <w:pPr>
        <w:pStyle w:val="BodyText"/>
      </w:pPr>
      <w:r>
        <w:rPr>
          <w:bCs/>
          <w:b/>
        </w:rPr>
        <w:t xml:space="preserve">For: Professional Staffing &amp; Executive Recruitment Solutions</w:t>
      </w:r>
    </w:p>
    <w:p>
      <w:pPr>
        <w:pStyle w:val="BodyText"/>
      </w:pPr>
      <w:r>
        <w:t xml:space="preserve">Authorized Signatory / Date</w:t>
      </w:r>
    </w:p>
    <w:p>
      <w:pPr>
        <w:pStyle w:val="BodyText"/>
      </w:pPr>
      <w:r>
        <w:rPr>
          <w:bCs/>
          <w:b/>
        </w:rPr>
        <w:t xml:space="preserve">For: Atlantic Horizon Commercial Group, LLC</w:t>
      </w:r>
    </w:p>
    <w:p>
      <w:pPr>
        <w:pStyle w:val="BodyText"/>
      </w:pPr>
      <w:r>
        <w:t xml:space="preserve">Authorized Signatory / Date</w:t>
      </w:r>
    </w:p>
    <w:p>
      <w:pPr>
        <w:pStyle w:val="BodyText"/>
      </w:pPr>
      <w:r>
        <w:t xml:space="preserve">Quotation Estimate QE-2025-MIA-0487 | Prepared for United States Miami | Sales Executive Engagement</w:t>
      </w:r>
    </w:p>
    <w:p>
      <w:pPr>
        <w:pStyle w:val="BodyText"/>
      </w:pPr>
      <w:r>
        <w:t xml:space="preserve">This document is confidential and intended solely for the named recipient. Unauthorized distribution is prohibited.</w:t>
      </w:r>
    </w:p>
    <w:p>
      <w:pPr>
        <w:pStyle w:val="BodyText"/>
      </w:pPr>
      <w:r>
        <w:t xml:space="preserve">© 2025 Professional Staffing &amp; Executive Recruitment Solutions.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United States Miami</dc:title>
  <dc:creator/>
  <dc:language>en</dc:language>
  <cp:keywords/>
  <dcterms:created xsi:type="dcterms:W3CDTF">2026-10-10T05:51:36Z</dcterms:created>
  <dcterms:modified xsi:type="dcterms:W3CDTF">2026-10-10T05:51:36Z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