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Prepared for Educational Institutions in Bangladesh Dhaka</w:t>
      </w:r>
    </w:p>
    <w:p>
      <w:pPr>
        <w:pStyle w:val="BodyText"/>
      </w:pPr>
      <w:r>
        <w:t xml:space="preserve">Document Reference No: QE-SC-DHK-2025-0472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MindBridge Educational Consulting Ltd.</w:t>
      </w:r>
      <w:r>
        <w:br/>
      </w:r>
      <w:r>
        <w:rPr>
          <w:bCs/>
          <w:b/>
        </w:rPr>
        <w:t xml:space="preserve">Address:</w:t>
      </w:r>
      <w:r>
        <w:t xml:space="preserve"> </w:t>
      </w:r>
      <w:r>
        <w:t xml:space="preserve">House 42, Road 11, Banani, Dhaka-1213, Bangladesh</w:t>
      </w:r>
    </w:p>
    <w:p>
      <w:pPr>
        <w:pStyle w:val="BodyText"/>
      </w:pPr>
      <w:r>
        <w:rPr>
          <w:bCs/>
          <w:b/>
        </w:rPr>
        <w:t xml:space="preserve">Prepared For:</w:t>
      </w:r>
      <w:r>
        <w:t xml:space="preserve"> </w:t>
      </w:r>
      <w:r>
        <w:t xml:space="preserve">[Institution Name]</w:t>
      </w:r>
      <w:r>
        <w:br/>
      </w:r>
      <w:r>
        <w:rPr>
          <w:bCs/>
          <w:b/>
        </w:rPr>
        <w:t xml:space="preserve">Location:</w:t>
      </w:r>
      <w:r>
        <w:t xml:space="preserve"> </w:t>
      </w:r>
      <w:r>
        <w:t xml:space="preserve">Dhaka, Bangladesh</w:t>
      </w:r>
      <w:r>
        <w:br/>
      </w:r>
      <w:r>
        <w:rPr>
          <w:bCs/>
          <w:b/>
        </w:rPr>
        <w:t xml:space="preserve">Contact Person:</w:t>
      </w:r>
      <w:r>
        <w:t xml:space="preserve"> </w:t>
      </w:r>
      <w:r>
        <w:t xml:space="preserve">[Name &amp; Designation]</w:t>
      </w:r>
      <w:r>
        <w:br/>
      </w:r>
      <w:r>
        <w:rPr>
          <w:bCs/>
          <w:b/>
        </w:rPr>
        <w:t xml:space="preserve">Phone:</w:t>
      </w:r>
      <w:r>
        <w:t xml:space="preserve"> </w:t>
      </w:r>
      <w:r>
        <w:t xml:space="preserve">+880-1XXX-XXXXXX</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MindBridge Educational Consulting Ltd. to provide a comprehensive and transparent cost breakdown for the engagement of a qualified</w:t>
      </w:r>
      <w:r>
        <w:t xml:space="preserve"> </w:t>
      </w:r>
      <w:r>
        <w:t xml:space="preserve">School Counselor</w:t>
      </w:r>
      <w:r>
        <w:t xml:space="preserve"> </w:t>
      </w:r>
      <w:r>
        <w:t xml:space="preserve">to serve the educational institution located in</w:t>
      </w:r>
      <w:r>
        <w:t xml:space="preserve"> </w:t>
      </w:r>
      <w:r>
        <w:t xml:space="preserve">Bangladesh Dhaka</w:t>
      </w:r>
      <w:r>
        <w:t xml:space="preserve">. The purpose of this document is to outline the scope of services, professional qualifications required, fee structure, and all associated terms governing the provision of counseling services within the school environment. This</w:t>
      </w:r>
      <w:r>
        <w:t xml:space="preserve"> </w:t>
      </w:r>
      <w:r>
        <w:t xml:space="preserve">Quotation Estimate</w:t>
      </w:r>
      <w:r>
        <w:t xml:space="preserve"> </w:t>
      </w:r>
      <w:r>
        <w:t xml:space="preserve">reflects current market rates applicable in the Dhaka metropolitan area and is structured to meet the regulatory standards set by the Bangladesh Education Board and the National Curriculum and Textbook Board (NCTB).</w:t>
      </w:r>
    </w:p>
    <w:p>
      <w:pPr>
        <w:pStyle w:val="BodyText"/>
      </w:pPr>
      <w:r>
        <w:t xml:space="preserve">2. Scope of Services – School Counselor Role</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will be responsible for the following duties and responsibilities within the institution in</w:t>
      </w:r>
      <w:r>
        <w:t xml:space="preserve"> </w:t>
      </w:r>
      <w:r>
        <w:t xml:space="preserve">Bangladesh Dhaka</w:t>
      </w:r>
      <w:r>
        <w:t xml:space="preserve">:</w:t>
      </w:r>
    </w:p>
    <w:p>
      <w:pPr>
        <w:numPr>
          <w:ilvl w:val="0"/>
          <w:numId w:val="1001"/>
        </w:numPr>
        <w:pStyle w:val="Compact"/>
      </w:pPr>
      <w:r>
        <w:t xml:space="preserve">Providing individual and group counseling sessions to students aged 6 to 18, addressing academic stress, behavioral issues, social anxiety, and emotional well-being.</w:t>
      </w:r>
    </w:p>
    <w:p>
      <w:pPr>
        <w:numPr>
          <w:ilvl w:val="0"/>
          <w:numId w:val="1001"/>
        </w:numPr>
        <w:pStyle w:val="Compact"/>
      </w:pPr>
      <w:r>
        <w:t xml:space="preserve">Conducting regular mental health screenings and early intervention assessments in coordination with the school's medical and administrative staff.</w:t>
      </w:r>
    </w:p>
    <w:p>
      <w:pPr>
        <w:numPr>
          <w:ilvl w:val="0"/>
          <w:numId w:val="1001"/>
        </w:numPr>
        <w:pStyle w:val="Compact"/>
      </w:pPr>
      <w:r>
        <w:t xml:space="preserve">Designing and implementing career guidance and academic planning workshops aligned with the HSC and SSC curriculum frameworks of Bangladesh.</w:t>
      </w:r>
    </w:p>
    <w:p>
      <w:pPr>
        <w:numPr>
          <w:ilvl w:val="0"/>
          <w:numId w:val="1001"/>
        </w:numPr>
        <w:pStyle w:val="Compact"/>
      </w:pPr>
      <w:r>
        <w:t xml:space="preserve">Organizing monthly parent-teacher-counselor meetings to discuss student progress, behavioral observations, and home-environment factors affecting academic performance.</w:t>
      </w:r>
    </w:p>
    <w:p>
      <w:pPr>
        <w:numPr>
          <w:ilvl w:val="0"/>
          <w:numId w:val="1001"/>
        </w:numPr>
        <w:pStyle w:val="Compact"/>
      </w:pPr>
      <w:r>
        <w:t xml:space="preserve">Developing anti-bullying, peer-support, and life-skills programs tailored to the cultural and social context of</w:t>
      </w:r>
      <w:r>
        <w:t xml:space="preserve"> </w:t>
      </w:r>
      <w:r>
        <w:t xml:space="preserve">Bangladesh Dhaka</w:t>
      </w:r>
      <w:r>
        <w:t xml:space="preserve">.</w:t>
      </w:r>
    </w:p>
    <w:p>
      <w:pPr>
        <w:numPr>
          <w:ilvl w:val="0"/>
          <w:numId w:val="1001"/>
        </w:numPr>
        <w:pStyle w:val="Compact"/>
      </w:pPr>
      <w:r>
        <w:t xml:space="preserve">Maintaining confidential student records in compliance with the Bangladesh Data Protection Act, 2018, and institutional privacy policies.</w:t>
      </w:r>
    </w:p>
    <w:p>
      <w:pPr>
        <w:numPr>
          <w:ilvl w:val="0"/>
          <w:numId w:val="1001"/>
        </w:numPr>
        <w:pStyle w:val="Compact"/>
      </w:pPr>
      <w:r>
        <w:t xml:space="preserve">Collaborating with external mental health professionals, NGOs, and government health services in Dhaka for referral cases requiring specialized intervention.</w:t>
      </w:r>
    </w:p>
    <w:p>
      <w:pPr>
        <w:numPr>
          <w:ilvl w:val="0"/>
          <w:numId w:val="1001"/>
        </w:numPr>
        <w:pStyle w:val="Compact"/>
      </w:pPr>
      <w:r>
        <w:t xml:space="preserve">Preparing quarterly progress reports and annual counseling outcome summaries for the school's Board of Governors and the Dhaka Education Board.</w:t>
      </w:r>
    </w:p>
    <w:p>
      <w:pPr>
        <w:pStyle w:val="FirstParagraph"/>
      </w:pPr>
      <w:r>
        <w:t xml:space="preserve">3. Professional Qualifications Required</w:t>
      </w:r>
    </w:p>
    <w:p>
      <w:pPr>
        <w:pStyle w:val="BodyText"/>
      </w:pPr>
      <w:r>
        <w:t xml:space="preserve">The</w:t>
      </w:r>
      <w:r>
        <w:t xml:space="preserve"> </w:t>
      </w:r>
      <w:r>
        <w:t xml:space="preserve">School Counselor</w:t>
      </w:r>
      <w:r>
        <w:t xml:space="preserve"> </w:t>
      </w:r>
      <w:r>
        <w:t xml:space="preserve">candidate must hold a minimum of a Master's degree in Counseling Psychology, Clinical Psychology, or Education (with a specialization in Guidance and Counseling) from a recognized university in Bangladesh or an internationally accredited institution. A valid license from the Bangladesh Counseling Association (BCA) or equivalent regulatory body is mandatory. A minimum of three (3) years of documented experience in a school or educational setting within</w:t>
      </w:r>
      <w:r>
        <w:t xml:space="preserve"> </w:t>
      </w:r>
      <w:r>
        <w:t xml:space="preserve">Bangladesh Dhaka</w:t>
      </w:r>
      <w:r>
        <w:t xml:space="preserve"> </w:t>
      </w:r>
      <w:r>
        <w:t xml:space="preserve">or its surrounding districts is required. Proficiency in both Bengali and English is essential for effective communication with students, parents, and administrative staff.</w:t>
      </w:r>
    </w:p>
    <w:p>
      <w:pPr>
        <w:pStyle w:val="BodyText"/>
      </w:pPr>
      <w:r>
        <w:t xml:space="preserve">4. Itemized Fee Structure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 Cost (BDT)</w:t>
            </w:r>
          </w:p>
        </w:tc>
        <w:tc>
          <w:tcPr/>
          <w:p>
            <w:pPr>
              <w:pStyle w:val="Compact"/>
              <w:jc w:val="left"/>
            </w:pPr>
            <w:r>
              <w:t xml:space="preserve">Annual Cost (BDT)</w:t>
            </w:r>
          </w:p>
        </w:tc>
      </w:tr>
      <w:tr>
        <w:tc>
          <w:tcPr/>
          <w:p>
            <w:pPr>
              <w:pStyle w:val="Compact"/>
              <w:jc w:val="left"/>
            </w:pPr>
            <w:r>
              <w:t xml:space="preserve">1</w:t>
            </w:r>
          </w:p>
        </w:tc>
        <w:tc>
          <w:tcPr/>
          <w:p>
            <w:pPr>
              <w:pStyle w:val="Compact"/>
              <w:jc w:val="left"/>
            </w:pPr>
            <w:r>
              <w:t xml:space="preserve">Full-time School Counselor salary (including 8-hour workday, 5-day week)</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Professional development, workshops, and certification renewal</w:t>
            </w:r>
          </w:p>
        </w:tc>
        <w:tc>
          <w:tcPr/>
          <w:p>
            <w:pPr>
              <w:pStyle w:val="Compact"/>
              <w:jc w:val="left"/>
            </w:pPr>
            <w:r>
              <w:t xml:space="preserve">Annual</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Counseling materials, assessment tools, and software licenses</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Parent and student awareness workshops (4 sessions per year)</w:t>
            </w:r>
          </w:p>
        </w:tc>
        <w:tc>
          <w:tcPr/>
          <w:p>
            <w:pPr>
              <w:pStyle w:val="Compact"/>
              <w:jc w:val="left"/>
            </w:pPr>
            <w:r>
              <w:t xml:space="preserve">Quarterly</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Referral and external specialist consultation fees</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Administrative and coordination overhead (MindBridge Consulting)</w:t>
            </w:r>
          </w:p>
        </w:tc>
        <w:tc>
          <w:tcPr/>
          <w:p>
            <w:pPr>
              <w:pStyle w:val="Compact"/>
              <w:jc w:val="left"/>
            </w:pPr>
            <w:r>
              <w:t xml:space="preserve">Annual</w:t>
            </w:r>
          </w:p>
        </w:tc>
        <w:tc>
          <w:tcPr/>
          <w:p>
            <w:pPr>
              <w:pStyle w:val="Compact"/>
              <w:jc w:val="left"/>
            </w:pPr>
            <w:r>
              <w:t xml:space="preserve">—</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Supervision and quality assurance visits by senior psychologist</w:t>
            </w:r>
          </w:p>
        </w:tc>
        <w:tc>
          <w:tcPr/>
          <w:p>
            <w:pPr>
              <w:pStyle w:val="Compact"/>
              <w:jc w:val="left"/>
            </w:pPr>
            <w:r>
              <w:t xml:space="preserve">Bi-monthly</w:t>
            </w:r>
          </w:p>
        </w:tc>
        <w:tc>
          <w:tcPr/>
          <w:p>
            <w:pPr>
              <w:pStyle w:val="Compact"/>
              <w:jc w:val="left"/>
            </w:pPr>
            <w:r>
              <w:t xml:space="preserve">12,000</w:t>
            </w:r>
          </w:p>
        </w:tc>
        <w:tc>
          <w:tcPr/>
          <w:p>
            <w:pPr>
              <w:pStyle w:val="Compact"/>
              <w:jc w:val="left"/>
            </w:pPr>
            <w:r>
              <w:t xml:space="preserve">72,000</w:t>
            </w:r>
          </w:p>
        </w:tc>
      </w:tr>
      <w:tr>
        <w:tc>
          <w:tcPr>
            <w:gridSpan w:val="4"/>
          </w:tcPr>
          <w:p>
            <w:pPr>
              <w:pStyle w:val="Compact"/>
              <w:jc w:val="right"/>
            </w:pPr>
            <w:r>
              <w:t xml:space="preserve">TOTAL ESTIMATED ANNUAL COST (BDT):</w:t>
            </w:r>
          </w:p>
        </w:tc>
        <w:tc>
          <w:tcPr/>
          <w:p>
            <w:pPr>
              <w:pStyle w:val="Compact"/>
              <w:jc w:val="left"/>
            </w:pPr>
            <w:r>
              <w:rPr>
                <w:bCs/>
                <w:b/>
              </w:rPr>
              <w:t xml:space="preserve">1,422,000</w:t>
            </w:r>
          </w:p>
        </w:tc>
      </w:tr>
      <w:tr>
        <w:tc>
          <w:tcPr>
            <w:gridSpan w:val="4"/>
          </w:tcPr>
          <w:p>
            <w:pPr>
              <w:pStyle w:val="Compact"/>
              <w:jc w:val="right"/>
            </w:pPr>
            <w:r>
              <w:t xml:space="preserve">VAT (5% as applicable in Bangladesh):</w:t>
            </w:r>
          </w:p>
        </w:tc>
        <w:tc>
          <w:tcPr/>
          <w:p>
            <w:pPr>
              <w:pStyle w:val="Compact"/>
              <w:jc w:val="left"/>
            </w:pPr>
            <w:r>
              <w:rPr>
                <w:bCs/>
                <w:b/>
              </w:rPr>
              <w:t xml:space="preserve">71,100</w:t>
            </w:r>
          </w:p>
        </w:tc>
      </w:tr>
      <w:tr>
        <w:tc>
          <w:tcPr>
            <w:gridSpan w:val="4"/>
          </w:tcPr>
          <w:p>
            <w:pPr>
              <w:pStyle w:val="Compact"/>
              <w:jc w:val="right"/>
            </w:pPr>
            <w:r>
              <w:t xml:space="preserve">GRAND TOTAL (BDT):</w:t>
            </w:r>
          </w:p>
        </w:tc>
        <w:tc>
          <w:tcPr/>
          <w:p>
            <w:pPr>
              <w:pStyle w:val="Compact"/>
              <w:jc w:val="left"/>
            </w:pPr>
            <w:r>
              <w:rPr>
                <w:bCs/>
                <w:b/>
              </w:rPr>
              <w:t xml:space="preserve">1,493,100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Bangladeshi Taka (BDT) and are inclusive of the School Counselor's basic professional indemnity insurance. Any additional services beyond the scope defined herein will be subject to a separate supplementary quotation. Exchange rate fluctuations do not apply as all costs are denominated in local currency.</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labor market in</w:t>
      </w:r>
      <w:r>
        <w:t xml:space="preserve"> </w:t>
      </w:r>
      <w:r>
        <w:t xml:space="preserve">Bangladesh Dhaka</w:t>
      </w:r>
      <w:r>
        <w:t xml:space="preserve">.</w:t>
      </w:r>
    </w:p>
    <w:p>
      <w:pPr>
        <w:numPr>
          <w:ilvl w:val="0"/>
          <w:numId w:val="1002"/>
        </w:numPr>
        <w:pStyle w:val="Compact"/>
      </w:pPr>
      <w:r>
        <w:t xml:space="preserve">Payment terms: 50% advance upon acceptance of this quotation, 30% upon successful onboarding of the</w:t>
      </w:r>
      <w:r>
        <w:t xml:space="preserve"> </w:t>
      </w:r>
      <w:r>
        <w:t xml:space="preserve">School Counselor</w:t>
      </w:r>
      <w:r>
        <w:t xml:space="preserve">, and the remaining 20% upon completion of the first quarter of service delivery.</w:t>
      </w:r>
    </w:p>
    <w:p>
      <w:pPr>
        <w:numPr>
          <w:ilvl w:val="0"/>
          <w:numId w:val="1002"/>
        </w:numPr>
        <w:pStyle w:val="Compact"/>
      </w:pPr>
      <w:r>
        <w:t xml:space="preserve">The institution reserves the right to request a replacement of the</w:t>
      </w:r>
      <w:r>
        <w:t xml:space="preserve"> </w:t>
      </w:r>
      <w:r>
        <w:t xml:space="preserve">School Counselor</w:t>
      </w:r>
      <w:r>
        <w:t xml:space="preserve"> </w:t>
      </w:r>
      <w:r>
        <w:t xml:space="preserve">with reasonable cause, subject to a 14-day written notice. MindBridge Consulting shall provide a qualified replacement within twenty-one (21) days.</w:t>
      </w:r>
    </w:p>
    <w:p>
      <w:pPr>
        <w:numPr>
          <w:ilvl w:val="0"/>
          <w:numId w:val="1002"/>
        </w:numPr>
        <w:pStyle w:val="Compact"/>
      </w:pPr>
      <w:r>
        <w:t xml:space="preserve">Confidentiality: All student records, session notes, and personal data handled by the</w:t>
      </w:r>
      <w:r>
        <w:t xml:space="preserve"> </w:t>
      </w:r>
      <w:r>
        <w:t xml:space="preserve">School Counselor</w:t>
      </w:r>
      <w:r>
        <w:t xml:space="preserve"> </w:t>
      </w:r>
      <w:r>
        <w:t xml:space="preserve">shall remain strictly confidential and shall not be disclosed to any third party without written consent, in accordance with Bangladeshi law.</w:t>
      </w:r>
    </w:p>
    <w:p>
      <w:pPr>
        <w:numPr>
          <w:ilvl w:val="0"/>
          <w:numId w:val="1002"/>
        </w:numPr>
        <w:pStyle w:val="Compact"/>
      </w:pPr>
      <w:r>
        <w:t xml:space="preserve">Termination: Either party may terminate the engagement with a 60-day written notice. In the event of early termination, pro-rated fees for services rendered shall be settled within 15 business days.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All disputes arising from this engagement shall be resolved through arbitration in Dhaka, Bangladesh, in accordance with the Arbitration Act, 2001 of Bangladesh.</w:t>
      </w:r>
    </w:p>
    <w:p>
      <w:pPr>
        <w:pStyle w:val="FirstParagraph"/>
      </w:pPr>
      <w:r>
        <w:t xml:space="preserve">6. Acceptance and Authorization</w:t>
      </w:r>
    </w:p>
    <w:p>
      <w:pPr>
        <w:pStyle w:val="BodyText"/>
      </w:pPr>
      <w:r>
        <w:t xml:space="preserve">By signing below, the institution acknowledges receipt of this</w:t>
      </w:r>
      <w:r>
        <w:t xml:space="preserve"> </w:t>
      </w:r>
      <w:r>
        <w:t xml:space="preserve">Quotation Estimate</w:t>
      </w:r>
      <w:r>
        <w:t xml:space="preserve"> </w:t>
      </w:r>
      <w:r>
        <w:t xml:space="preserve">and agrees to the terms, conditions, and fee structure outlined for the engagement of a</w:t>
      </w:r>
      <w:r>
        <w:t xml:space="preserve"> </w:t>
      </w:r>
      <w:r>
        <w:t xml:space="preserve">School Counselor</w:t>
      </w:r>
      <w:r>
        <w:t xml:space="preserve"> </w:t>
      </w:r>
      <w:r>
        <w:t xml:space="preserve">in</w:t>
      </w:r>
      <w:r>
        <w:t xml:space="preserve"> </w:t>
      </w:r>
      <w:r>
        <w:t xml:space="preserve">Bangladesh Dhaka</w:t>
      </w:r>
      <w:r>
        <w:t xml:space="preserve">. This acceptance does not obligate either party until a definitive service contract is signed.</w:t>
      </w:r>
    </w:p>
    <w:p>
      <w:pPr>
        <w:pStyle w:val="BodyText"/>
      </w:pPr>
      <w:r>
        <w:rPr>
          <w:bCs/>
          <w:b/>
        </w:rPr>
        <w:t xml:space="preserve">For MindBridge Educational Consulting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Institution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MindBridge Educational Consulting Ltd. | House 42, Road 11, Banani, Dhaka-1213, Bangladesh</w:t>
      </w:r>
      <w:r>
        <w:br/>
      </w:r>
      <w:r>
        <w:t xml:space="preserve">Phone: +880-2-8812345 | Email: info@mindbridgedhaka.com | TIN: 001234567-0101</w:t>
      </w:r>
      <w:r>
        <w:br/>
      </w:r>
      <w:r>
        <w:t xml:space="preserve">This Quotation Estimate is the property of MindBridge Educational Consulting Ltd.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Bangladesh Dhaka</dc:title>
  <dc:creator/>
  <dc:language>en</dc:language>
  <cp:keywords/>
  <dcterms:created xsi:type="dcterms:W3CDTF">2026-10-10T08:08:59Z</dcterms:created>
  <dcterms:modified xsi:type="dcterms:W3CDTF">2026-10-10T08:08:59Z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