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School</w:t>
      </w:r>
      <w:r>
        <w:t xml:space="preserve"> </w:t>
      </w:r>
      <w:r>
        <w:t xml:space="preserve">Counselor</w:t>
      </w:r>
      <w:r>
        <w:t xml:space="preserve"> </w:t>
      </w:r>
      <w:r>
        <w:t xml:space="preserve">Services</w:t>
      </w:r>
      <w:r>
        <w:t xml:space="preserve"> </w:t>
      </w:r>
      <w:r>
        <w:t xml:space="preserve">-</w:t>
      </w:r>
      <w:r>
        <w:t xml:space="preserve"> </w:t>
      </w:r>
      <w:r>
        <w:t xml:space="preserve">France</w:t>
      </w:r>
      <w:r>
        <w:t xml:space="preserve"> </w:t>
      </w:r>
      <w:r>
        <w:t xml:space="preserve">Lyon</w:t>
      </w:r>
    </w:p>
    <w:bookmarkStart w:id="20" w:name="quotation-estimate"/>
    <w:p>
      <w:pPr>
        <w:pStyle w:val="Heading1"/>
      </w:pPr>
      <w:r>
        <w:t xml:space="preserve">QUOTATION ESTIMATE</w:t>
      </w:r>
    </w:p>
    <w:p>
      <w:pPr>
        <w:pStyle w:val="FirstParagraph"/>
      </w:pPr>
      <w:r>
        <w:t xml:space="preserve">Professional School Counselor Services — France Lyon</w:t>
      </w:r>
    </w:p>
    <w:p>
      <w:pPr>
        <w:pStyle w:val="BodyText"/>
      </w:pPr>
      <w:r>
        <w:t xml:space="preserve">Ref: QE-FL-2025-0047 | Valid for 60 days from issue date</w:t>
      </w:r>
    </w:p>
    <w:bookmarkEnd w:id="20"/>
    <w:p>
      <w:pPr>
        <w:pStyle w:val="BodyText"/>
      </w:pPr>
      <w:r>
        <w:rPr>
          <w:bCs/>
          <w:b/>
        </w:rPr>
        <w:t xml:space="preserve">Provider:</w:t>
      </w:r>
      <w:r>
        <w:br/>
      </w:r>
      <w:r>
        <w:t xml:space="preserve">Lyon Educational Support Group</w:t>
      </w:r>
      <w:r>
        <w:br/>
      </w:r>
      <w:r>
        <w:t xml:space="preserve">14 Rue de la République</w:t>
      </w:r>
      <w:r>
        <w:br/>
      </w:r>
      <w:r>
        <w:t xml:space="preserve">69002 Lyon, France</w:t>
      </w:r>
      <w:r>
        <w:br/>
      </w:r>
      <w:r>
        <w:t xml:space="preserve">Tel: +33 4 72 00 00 00</w:t>
      </w:r>
      <w:r>
        <w:br/>
      </w:r>
      <w:r>
        <w:t xml:space="preserve">Email: quotes@lyon-educ-support.fr</w:t>
      </w:r>
    </w:p>
    <w:p>
      <w:pPr>
        <w:pStyle w:val="BodyText"/>
      </w:pPr>
      <w:r>
        <w:rPr>
          <w:bCs/>
          <w:b/>
        </w:rPr>
        <w:t xml:space="preserve">Client:</w:t>
      </w:r>
      <w:r>
        <w:br/>
      </w:r>
      <w:r>
        <w:t xml:space="preserve">Lycée International de Lyon</w:t>
      </w:r>
      <w:r>
        <w:br/>
      </w:r>
      <w:r>
        <w:t xml:space="preserve">8 Avenue Jean Jaurès</w:t>
      </w:r>
      <w:r>
        <w:br/>
      </w:r>
      <w:r>
        <w:t xml:space="preserve">69007 Lyon, France</w:t>
      </w:r>
      <w:r>
        <w:br/>
      </w:r>
      <w:r>
        <w:t xml:space="preserve">Contact: Mme. Claire Dubois, Principal</w:t>
      </w:r>
      <w:r>
        <w:br/>
      </w:r>
      <w:r>
        <w:t xml:space="preserve">Email: c.dubois@lycee-intl-lyon.fr</w:t>
      </w:r>
    </w:p>
    <w:bookmarkStart w:id="21"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is issued by Lyon Educational Support Group to provide a comprehensive and transparent financial overview for the engagement of a qualified</w:t>
      </w:r>
      <w:r>
        <w:t xml:space="preserve"> </w:t>
      </w:r>
      <w:r>
        <w:t xml:space="preserve">School Counselor</w:t>
      </w:r>
      <w:r>
        <w:t xml:space="preserve"> </w:t>
      </w:r>
      <w:r>
        <w:t xml:space="preserve">to deliver ongoing student support services at the Lycée International de Lyon, located in the heart of</w:t>
      </w:r>
      <w:r>
        <w:t xml:space="preserve"> </w:t>
      </w:r>
      <w:r>
        <w:t xml:space="preserve">France Lyon</w:t>
      </w:r>
      <w:r>
        <w:t xml:space="preserve">. This document outlines the scope of services, associated costs, payment schedules, and contractual terms governing the professional relationship between both parties. All figures presented in this</w:t>
      </w:r>
      <w:r>
        <w:t xml:space="preserve"> </w:t>
      </w:r>
      <w:r>
        <w:t xml:space="preserve">Quotation Estimate</w:t>
      </w:r>
      <w:r>
        <w:t xml:space="preserve"> </w:t>
      </w:r>
      <w:r>
        <w:t xml:space="preserve">are expressed in Euros (EUR) and are subject to the applicable French value-added tax (TVA) at the standard rate of 20%.</w:t>
      </w:r>
    </w:p>
    <w:bookmarkEnd w:id="21"/>
    <w:bookmarkStart w:id="22" w:name="scope-of-services-school-counselor-role"/>
    <w:p>
      <w:pPr>
        <w:pStyle w:val="Heading2"/>
      </w:pPr>
      <w:r>
        <w:t xml:space="preserve">2. Scope of Services — School Counselor Role</w:t>
      </w:r>
    </w:p>
    <w:p>
      <w:pPr>
        <w:pStyle w:val="FirstParagraph"/>
      </w:pPr>
      <w:r>
        <w:t xml:space="preserve">The</w:t>
      </w:r>
      <w:r>
        <w:t xml:space="preserve"> </w:t>
      </w:r>
      <w:r>
        <w:t xml:space="preserve">School Counselor</w:t>
      </w:r>
      <w:r>
        <w:t xml:space="preserve"> </w:t>
      </w:r>
      <w:r>
        <w:t xml:space="preserve">engaged under this</w:t>
      </w:r>
      <w:r>
        <w:t xml:space="preserve"> </w:t>
      </w:r>
      <w:r>
        <w:t xml:space="preserve">Quotation Estimate</w:t>
      </w:r>
      <w:r>
        <w:t xml:space="preserve"> </w:t>
      </w:r>
      <w:r>
        <w:t xml:space="preserve">will operate within the educational framework of</w:t>
      </w:r>
      <w:r>
        <w:t xml:space="preserve"> </w:t>
      </w:r>
      <w:r>
        <w:t xml:space="preserve">France Lyon</w:t>
      </w:r>
      <w:r>
        <w:t xml:space="preserve"> </w:t>
      </w:r>
      <w:r>
        <w:t xml:space="preserve">and will be responsible for the following core duties:</w:t>
      </w:r>
    </w:p>
    <w:p>
      <w:pPr>
        <w:numPr>
          <w:ilvl w:val="0"/>
          <w:numId w:val="1001"/>
        </w:numPr>
        <w:pStyle w:val="Compact"/>
      </w:pPr>
      <w:r>
        <w:t xml:space="preserve">Providing individual and group counseling sessions to students aged 11 through 18, addressing academic, emotional, and social development concerns.</w:t>
      </w:r>
    </w:p>
    <w:p>
      <w:pPr>
        <w:numPr>
          <w:ilvl w:val="0"/>
          <w:numId w:val="1001"/>
        </w:numPr>
        <w:pStyle w:val="Compact"/>
      </w:pPr>
      <w:r>
        <w:t xml:space="preserve">Conducting regular well-being assessments and maintaining confidential student records in compliance with French data protection regulations (RGPD/GDPR).</w:t>
      </w:r>
    </w:p>
    <w:p>
      <w:pPr>
        <w:numPr>
          <w:ilvl w:val="0"/>
          <w:numId w:val="1001"/>
        </w:numPr>
        <w:pStyle w:val="Compact"/>
      </w:pPr>
      <w:r>
        <w:t xml:space="preserve">Designing and implementing preventive mental health programs tailored to the multicultural student body of the institution in</w:t>
      </w:r>
      <w:r>
        <w:t xml:space="preserve"> </w:t>
      </w:r>
      <w:r>
        <w:t xml:space="preserve">France Lyon</w:t>
      </w:r>
      <w:r>
        <w:t xml:space="preserve">.</w:t>
      </w:r>
    </w:p>
    <w:p>
      <w:pPr>
        <w:numPr>
          <w:ilvl w:val="0"/>
          <w:numId w:val="1001"/>
        </w:numPr>
        <w:pStyle w:val="Compact"/>
      </w:pPr>
      <w:r>
        <w:t xml:space="preserve">Collaborating with teachers, parents, and external healthcare professionals to develop individualized support plans for students requiring additional assistance.</w:t>
      </w:r>
    </w:p>
    <w:p>
      <w:pPr>
        <w:numPr>
          <w:ilvl w:val="0"/>
          <w:numId w:val="1001"/>
        </w:numPr>
        <w:pStyle w:val="Compact"/>
      </w:pPr>
      <w:r>
        <w:t xml:space="preserve">Organizing monthly workshops on stress management, conflict resolution, and career guidance for the student body.</w:t>
      </w:r>
    </w:p>
    <w:p>
      <w:pPr>
        <w:numPr>
          <w:ilvl w:val="0"/>
          <w:numId w:val="1001"/>
        </w:numPr>
        <w:pStyle w:val="Compact"/>
      </w:pPr>
      <w:r>
        <w:t xml:space="preserve">Producing quarterly progress reports to the school administration detailing counseling outcomes, student engagement metrics, and recommendations for program improvement.</w:t>
      </w:r>
    </w:p>
    <w:p>
      <w:pPr>
        <w:numPr>
          <w:ilvl w:val="0"/>
          <w:numId w:val="1001"/>
        </w:numPr>
        <w:pStyle w:val="Compact"/>
      </w:pPr>
      <w:r>
        <w:t xml:space="preserve">Ensuring full compliance with the French Ministry of Education guidelines regarding student welfare and the ethical standards set by the French Association of School Counselors (AFCE).</w:t>
      </w:r>
    </w:p>
    <w:bookmarkEnd w:id="22"/>
    <w:bookmarkStart w:id="23" w:name="X9731a520f2df829f1d1069be7bb81379a3f65c0"/>
    <w:p>
      <w:pPr>
        <w:pStyle w:val="Heading2"/>
      </w:pPr>
      <w:r>
        <w:t xml:space="preserve">3. Financial Breakdown — Quotation Estimate Details</w:t>
      </w:r>
    </w:p>
    <w:p>
      <w:pPr>
        <w:pStyle w:val="FirstParagraph"/>
      </w:pPr>
      <w:r>
        <w:t xml:space="preserve">The following table presents the itemized costs forming the basis of this</w:t>
      </w:r>
      <w:r>
        <w:t xml:space="preserve"> </w:t>
      </w:r>
      <w:r>
        <w:t xml:space="preserve">Quotation Estimate</w:t>
      </w:r>
      <w:r>
        <w:t xml:space="preserve"> </w:t>
      </w:r>
      <w:r>
        <w:t xml:space="preserve">for the</w:t>
      </w:r>
      <w:r>
        <w:t xml:space="preserve"> </w:t>
      </w:r>
      <w:r>
        <w:t xml:space="preserve">School Counselor</w:t>
      </w:r>
      <w:r>
        <w:t xml:space="preserve"> </w:t>
      </w:r>
      <w:r>
        <w:t xml:space="preserve">engagement in</w:t>
      </w:r>
      <w:r>
        <w:t xml:space="preserve"> </w:t>
      </w:r>
      <w:r>
        <w:t xml:space="preserve">France Lyon</w:t>
      </w:r>
      <w:r>
        <w:t xml:space="preserve">:</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left"/>
            </w:pPr>
            <w:r>
              <w:t xml:space="preserve">Duration</w:t>
            </w:r>
          </w:p>
        </w:tc>
        <w:tc>
          <w:tcPr/>
          <w:p>
            <w:pPr>
              <w:pStyle w:val="Compact"/>
              <w:jc w:val="left"/>
            </w:pPr>
            <w:r>
              <w:t xml:space="preserve">Unit Cost (EUR)</w:t>
            </w:r>
          </w:p>
        </w:tc>
        <w:tc>
          <w:tcPr/>
          <w:p>
            <w:pPr>
              <w:pStyle w:val="Compact"/>
              <w:jc w:val="left"/>
            </w:pPr>
            <w:r>
              <w:t xml:space="preserve">Total (EUR)</w:t>
            </w:r>
          </w:p>
        </w:tc>
      </w:tr>
      <w:tr>
        <w:tc>
          <w:tcPr/>
          <w:p>
            <w:pPr>
              <w:pStyle w:val="Compact"/>
              <w:jc w:val="left"/>
            </w:pPr>
            <w:r>
              <w:t xml:space="preserve">1</w:t>
            </w:r>
          </w:p>
        </w:tc>
        <w:tc>
          <w:tcPr/>
          <w:p>
            <w:pPr>
              <w:pStyle w:val="Compact"/>
              <w:jc w:val="left"/>
            </w:pPr>
            <w:r>
              <w:t xml:space="preserve">Monthly professional fee for the School Counselor (full-time, 35 hrs/week)</w:t>
            </w:r>
          </w:p>
        </w:tc>
        <w:tc>
          <w:tcPr/>
          <w:p>
            <w:pPr>
              <w:pStyle w:val="Compact"/>
              <w:jc w:val="left"/>
            </w:pPr>
            <w:r>
              <w:t xml:space="preserve">10 months (Sept 2025 – June 2026)</w:t>
            </w:r>
          </w:p>
        </w:tc>
        <w:tc>
          <w:tcPr/>
          <w:p>
            <w:pPr>
              <w:pStyle w:val="Compact"/>
              <w:jc w:val="left"/>
            </w:pPr>
            <w:r>
              <w:t xml:space="preserve">4,200.00</w:t>
            </w:r>
          </w:p>
        </w:tc>
        <w:tc>
          <w:tcPr/>
          <w:p>
            <w:pPr>
              <w:pStyle w:val="Compact"/>
              <w:jc w:val="left"/>
            </w:pPr>
            <w:r>
              <w:t xml:space="preserve">42,000.00</w:t>
            </w:r>
          </w:p>
        </w:tc>
      </w:tr>
      <w:tr>
        <w:tc>
          <w:tcPr/>
          <w:p>
            <w:pPr>
              <w:pStyle w:val="Compact"/>
              <w:jc w:val="left"/>
            </w:pPr>
            <w:r>
              <w:t xml:space="preserve">2</w:t>
            </w:r>
          </w:p>
        </w:tc>
        <w:tc>
          <w:tcPr/>
          <w:p>
            <w:pPr>
              <w:pStyle w:val="Compact"/>
              <w:jc w:val="left"/>
            </w:pPr>
            <w:r>
              <w:t xml:space="preserve">Initial program design and curriculum development for student support services</w:t>
            </w:r>
          </w:p>
        </w:tc>
        <w:tc>
          <w:tcPr/>
          <w:p>
            <w:pPr>
              <w:pStyle w:val="Compact"/>
              <w:jc w:val="left"/>
            </w:pPr>
            <w:r>
              <w:t xml:space="preserve">One-time</w:t>
            </w:r>
          </w:p>
        </w:tc>
        <w:tc>
          <w:tcPr/>
          <w:p>
            <w:pPr>
              <w:pStyle w:val="Compact"/>
              <w:jc w:val="left"/>
            </w:pPr>
            <w:r>
              <w:t xml:space="preserve">3,500.00</w:t>
            </w:r>
          </w:p>
        </w:tc>
        <w:tc>
          <w:tcPr/>
          <w:p>
            <w:pPr>
              <w:pStyle w:val="Compact"/>
              <w:jc w:val="left"/>
            </w:pPr>
            <w:r>
              <w:t xml:space="preserve">3,500.00</w:t>
            </w:r>
          </w:p>
        </w:tc>
      </w:tr>
      <w:tr>
        <w:tc>
          <w:tcPr/>
          <w:p>
            <w:pPr>
              <w:pStyle w:val="Compact"/>
              <w:jc w:val="left"/>
            </w:pPr>
            <w:r>
              <w:t xml:space="preserve">3</w:t>
            </w:r>
          </w:p>
        </w:tc>
        <w:tc>
          <w:tcPr/>
          <w:p>
            <w:pPr>
              <w:pStyle w:val="Compact"/>
              <w:jc w:val="left"/>
            </w:pPr>
            <w:r>
              <w:t xml:space="preserve">Monthly workshop facilitation (4 sessions per month, 2 hours each)</w:t>
            </w:r>
          </w:p>
        </w:tc>
        <w:tc>
          <w:tcPr/>
          <w:p>
            <w:pPr>
              <w:pStyle w:val="Compact"/>
              <w:jc w:val="left"/>
            </w:pPr>
            <w:r>
              <w:t xml:space="preserve">10 months</w:t>
            </w:r>
          </w:p>
        </w:tc>
        <w:tc>
          <w:tcPr/>
          <w:p>
            <w:pPr>
              <w:pStyle w:val="Compact"/>
              <w:jc w:val="left"/>
            </w:pPr>
            <w:r>
              <w:t xml:space="preserve">600.00</w:t>
            </w:r>
          </w:p>
        </w:tc>
        <w:tc>
          <w:tcPr/>
          <w:p>
            <w:pPr>
              <w:pStyle w:val="Compact"/>
              <w:jc w:val="left"/>
            </w:pPr>
            <w:r>
              <w:t xml:space="preserve">6,000.00</w:t>
            </w:r>
          </w:p>
        </w:tc>
      </w:tr>
      <w:tr>
        <w:tc>
          <w:tcPr/>
          <w:p>
            <w:pPr>
              <w:pStyle w:val="Compact"/>
              <w:jc w:val="left"/>
            </w:pPr>
            <w:r>
              <w:t xml:space="preserve">4</w:t>
            </w:r>
          </w:p>
        </w:tc>
        <w:tc>
          <w:tcPr/>
          <w:p>
            <w:pPr>
              <w:pStyle w:val="Compact"/>
              <w:jc w:val="left"/>
            </w:pPr>
            <w:r>
              <w:t xml:space="preserve">Parent-teacher counseling coordination and quarterly reporting</w:t>
            </w:r>
          </w:p>
        </w:tc>
        <w:tc>
          <w:tcPr/>
          <w:p>
            <w:pPr>
              <w:pStyle w:val="Compact"/>
              <w:jc w:val="left"/>
            </w:pPr>
            <w:r>
              <w:t xml:space="preserve">10 months</w:t>
            </w:r>
          </w:p>
        </w:tc>
        <w:tc>
          <w:tcPr/>
          <w:p>
            <w:pPr>
              <w:pStyle w:val="Compact"/>
              <w:jc w:val="left"/>
            </w:pPr>
            <w:r>
              <w:t xml:space="preserve">450.00</w:t>
            </w:r>
          </w:p>
        </w:tc>
        <w:tc>
          <w:tcPr/>
          <w:p>
            <w:pPr>
              <w:pStyle w:val="Compact"/>
              <w:jc w:val="left"/>
            </w:pPr>
            <w:r>
              <w:t xml:space="preserve">4,500.00</w:t>
            </w:r>
          </w:p>
        </w:tc>
      </w:tr>
      <w:tr>
        <w:tc>
          <w:tcPr/>
          <w:p>
            <w:pPr>
              <w:pStyle w:val="Compact"/>
              <w:jc w:val="left"/>
            </w:pPr>
            <w:r>
              <w:t xml:space="preserve">5</w:t>
            </w:r>
          </w:p>
        </w:tc>
        <w:tc>
          <w:tcPr/>
          <w:p>
            <w:pPr>
              <w:pStyle w:val="Compact"/>
              <w:jc w:val="left"/>
            </w:pPr>
            <w:r>
              <w:t xml:space="preserve">Professional liability insurance (French regulatory requirement)</w:t>
            </w:r>
          </w:p>
        </w:tc>
        <w:tc>
          <w:tcPr/>
          <w:p>
            <w:pPr>
              <w:pStyle w:val="Compact"/>
              <w:jc w:val="left"/>
            </w:pPr>
            <w:r>
              <w:t xml:space="preserve">10 months</w:t>
            </w:r>
          </w:p>
        </w:tc>
        <w:tc>
          <w:tcPr/>
          <w:p>
            <w:pPr>
              <w:pStyle w:val="Compact"/>
              <w:jc w:val="left"/>
            </w:pPr>
            <w:r>
              <w:t xml:space="preserve">320.00</w:t>
            </w:r>
          </w:p>
        </w:tc>
        <w:tc>
          <w:tcPr/>
          <w:p>
            <w:pPr>
              <w:pStyle w:val="Compact"/>
              <w:jc w:val="left"/>
            </w:pPr>
            <w:r>
              <w:t xml:space="preserve">3,200.00</w:t>
            </w:r>
          </w:p>
        </w:tc>
      </w:tr>
      <w:tr>
        <w:tc>
          <w:tcPr/>
          <w:p>
            <w:pPr>
              <w:pStyle w:val="Compact"/>
              <w:jc w:val="left"/>
            </w:pPr>
            <w:r>
              <w:t xml:space="preserve">6</w:t>
            </w:r>
          </w:p>
        </w:tc>
        <w:tc>
          <w:tcPr/>
          <w:p>
            <w:pPr>
              <w:pStyle w:val="Compact"/>
              <w:jc w:val="left"/>
            </w:pPr>
            <w:r>
              <w:t xml:space="preserve">Administrative overhead and office supply allocation in Lyon</w:t>
            </w:r>
          </w:p>
        </w:tc>
        <w:tc>
          <w:tcPr/>
          <w:p>
            <w:pPr>
              <w:pStyle w:val="Compact"/>
              <w:jc w:val="left"/>
            </w:pPr>
            <w:r>
              <w:t xml:space="preserve">10 months</w:t>
            </w:r>
          </w:p>
        </w:tc>
        <w:tc>
          <w:tcPr/>
          <w:p>
            <w:pPr>
              <w:pStyle w:val="Compact"/>
              <w:jc w:val="left"/>
            </w:pPr>
            <w:r>
              <w:t xml:space="preserve">280.00</w:t>
            </w:r>
          </w:p>
        </w:tc>
        <w:tc>
          <w:tcPr/>
          <w:p>
            <w:pPr>
              <w:pStyle w:val="Compact"/>
              <w:jc w:val="left"/>
            </w:pPr>
            <w:r>
              <w:t xml:space="preserve">2,800.00</w:t>
            </w:r>
          </w:p>
        </w:tc>
      </w:tr>
      <w:tr>
        <w:tc>
          <w:tcPr/>
          <w:p>
            <w:pPr>
              <w:pStyle w:val="Compact"/>
              <w:jc w:val="left"/>
            </w:pPr>
            <w:r>
              <w:t xml:space="preserve">7</w:t>
            </w:r>
          </w:p>
        </w:tc>
        <w:tc>
          <w:tcPr/>
          <w:p>
            <w:pPr>
              <w:pStyle w:val="Compact"/>
              <w:jc w:val="left"/>
            </w:pPr>
            <w:r>
              <w:t xml:space="preserve">Continuing professional development and AFCE membership fees</w:t>
            </w:r>
          </w:p>
        </w:tc>
        <w:tc>
          <w:tcPr/>
          <w:p>
            <w:pPr>
              <w:pStyle w:val="Compact"/>
              <w:jc w:val="left"/>
            </w:pPr>
            <w:r>
              <w:t xml:space="preserve">10 months</w:t>
            </w:r>
          </w:p>
        </w:tc>
        <w:tc>
          <w:tcPr/>
          <w:p>
            <w:pPr>
              <w:pStyle w:val="Compact"/>
              <w:jc w:val="left"/>
            </w:pPr>
            <w:r>
              <w:t xml:space="preserve">150.00</w:t>
            </w:r>
          </w:p>
        </w:tc>
        <w:tc>
          <w:tcPr/>
          <w:p>
            <w:pPr>
              <w:pStyle w:val="Compact"/>
              <w:jc w:val="left"/>
            </w:pPr>
            <w:r>
              <w:t xml:space="preserve">1,500.00</w:t>
            </w:r>
          </w:p>
        </w:tc>
      </w:tr>
      <w:tr>
        <w:tc>
          <w:tcPr>
            <w:gridSpan w:val="4"/>
          </w:tcPr>
          <w:p>
            <w:pPr>
              <w:pStyle w:val="Compact"/>
              <w:jc w:val="left"/>
            </w:pPr>
            <w:r>
              <w:t xml:space="preserve">Subtotal (before TVA)</w:t>
            </w:r>
          </w:p>
        </w:tc>
        <w:tc>
          <w:tcPr/>
          <w:p>
            <w:pPr>
              <w:pStyle w:val="Compact"/>
              <w:jc w:val="left"/>
            </w:pPr>
            <w:r>
              <w:t xml:space="preserve">63,500.00</w:t>
            </w:r>
          </w:p>
        </w:tc>
      </w:tr>
      <w:tr>
        <w:tc>
          <w:tcPr>
            <w:gridSpan w:val="4"/>
          </w:tcPr>
          <w:p>
            <w:pPr>
              <w:pStyle w:val="Compact"/>
              <w:jc w:val="left"/>
            </w:pPr>
            <w:r>
              <w:t xml:space="preserve">TVA (20%)</w:t>
            </w:r>
          </w:p>
        </w:tc>
        <w:tc>
          <w:tcPr/>
          <w:p>
            <w:pPr>
              <w:pStyle w:val="Compact"/>
              <w:jc w:val="left"/>
            </w:pPr>
            <w:r>
              <w:t xml:space="preserve">12,700.00</w:t>
            </w:r>
          </w:p>
        </w:tc>
      </w:tr>
      <w:tr>
        <w:tc>
          <w:tcPr>
            <w:gridSpan w:val="4"/>
          </w:tcPr>
          <w:p>
            <w:pPr>
              <w:pStyle w:val="Compact"/>
              <w:jc w:val="left"/>
            </w:pPr>
            <w:r>
              <w:rPr>
                <w:bCs/>
                <w:b/>
              </w:rPr>
              <w:t xml:space="preserve">Grand Total (EUR)</w:t>
            </w:r>
          </w:p>
        </w:tc>
        <w:tc>
          <w:tcPr/>
          <w:p>
            <w:pPr>
              <w:pStyle w:val="Compact"/>
              <w:jc w:val="left"/>
            </w:pPr>
            <w:r>
              <w:rPr>
                <w:bCs/>
                <w:b/>
              </w:rPr>
              <w:t xml:space="preserve">76,200.00</w:t>
            </w:r>
          </w:p>
        </w:tc>
      </w:tr>
    </w:tbl>
    <w:bookmarkEnd w:id="23"/>
    <w:bookmarkStart w:id="24" w:name="payment-terms"/>
    <w:p>
      <w:pPr>
        <w:pStyle w:val="Heading2"/>
      </w:pPr>
      <w:r>
        <w:t xml:space="preserve">4. Payment Terms</w:t>
      </w:r>
    </w:p>
    <w:p>
      <w:pPr>
        <w:pStyle w:val="FirstParagraph"/>
      </w:pPr>
      <w:r>
        <w:t xml:space="preserve">Payment for the services described in this</w:t>
      </w:r>
      <w:r>
        <w:t xml:space="preserve"> </w:t>
      </w:r>
      <w:r>
        <w:t xml:space="preserve">Quotation Estimate</w:t>
      </w:r>
      <w:r>
        <w:t xml:space="preserve"> </w:t>
      </w:r>
      <w:r>
        <w:t xml:space="preserve">shall be made via bank transfer to the account of Lyon Educational Support Group. The total amount of 76,200.00 EUR shall be invoiced on a monthly basis, with each invoice due within 30 days of receipt. A 10% advance payment is required upon acceptance of this</w:t>
      </w:r>
      <w:r>
        <w:t xml:space="preserve"> </w:t>
      </w:r>
      <w:r>
        <w:t xml:space="preserve">Quotation Estimate</w:t>
      </w:r>
      <w:r>
        <w:t xml:space="preserve"> </w:t>
      </w:r>
      <w:r>
        <w:t xml:space="preserve">to secure the</w:t>
      </w:r>
      <w:r>
        <w:t xml:space="preserve"> </w:t>
      </w:r>
      <w:r>
        <w:t xml:space="preserve">School Counselor</w:t>
      </w:r>
      <w:r>
        <w:t xml:space="preserve"> </w:t>
      </w:r>
      <w:r>
        <w:t xml:space="preserve">position for the academic year. Late payments shall incur a penalty of 1.5% per month in accordance with French commercial law (Article L441-10 of the Code de commerce).</w:t>
      </w:r>
    </w:p>
    <w:bookmarkEnd w:id="24"/>
    <w:bookmarkStart w:id="25" w:name="validity-and-acceptance"/>
    <w:p>
      <w:pPr>
        <w:pStyle w:val="Heading2"/>
      </w:pPr>
      <w:r>
        <w:t xml:space="preserve">5. Validity and Acceptance</w:t>
      </w:r>
    </w:p>
    <w:p>
      <w:pPr>
        <w:pStyle w:val="FirstParagraph"/>
      </w:pPr>
      <w:r>
        <w:t xml:space="preserve">This</w:t>
      </w:r>
      <w:r>
        <w:t xml:space="preserve"> </w:t>
      </w:r>
      <w:r>
        <w:t xml:space="preserve">Quotation Estimate</w:t>
      </w:r>
      <w:r>
        <w:t xml:space="preserve"> </w:t>
      </w:r>
      <w:r>
        <w:t xml:space="preserve">is valid for a period of sixty (60) calendar days from the date of issue. Should the client wish to proceed with the engagement of the</w:t>
      </w:r>
      <w:r>
        <w:t xml:space="preserve"> </w:t>
      </w:r>
      <w:r>
        <w:t xml:space="preserve">School Counselor</w:t>
      </w:r>
      <w:r>
        <w:t xml:space="preserve"> </w:t>
      </w:r>
      <w:r>
        <w:t xml:space="preserve">in</w:t>
      </w:r>
      <w:r>
        <w:t xml:space="preserve"> </w:t>
      </w:r>
      <w:r>
        <w:t xml:space="preserve">France Lyon</w:t>
      </w:r>
      <w:r>
        <w:t xml:space="preserve">, a formal written acceptance must be returned to Lyon Educational Support Group within the validity period. Upon acceptance, a definitive service contract will be drafted, incorporating all terms outlined herein, and will be governed by the laws of the French Republic. Any modifications to the scope of services or cost structure must be agreed upon in writing by both parties prior to implementation.</w:t>
      </w:r>
    </w:p>
    <w:bookmarkEnd w:id="25"/>
    <w:bookmarkStart w:id="26" w:name="confidentiality-and-data-protection"/>
    <w:p>
      <w:pPr>
        <w:pStyle w:val="Heading2"/>
      </w:pPr>
      <w:r>
        <w:t xml:space="preserve">6. Confidentiality and Data Protection</w:t>
      </w:r>
    </w:p>
    <w:p>
      <w:pPr>
        <w:pStyle w:val="FirstParagraph"/>
      </w:pPr>
      <w:r>
        <w:t xml:space="preserve">All student records, counseling notes, and personal data handled by the</w:t>
      </w:r>
      <w:r>
        <w:t xml:space="preserve"> </w:t>
      </w:r>
      <w:r>
        <w:t xml:space="preserve">School Counselor</w:t>
      </w:r>
      <w:r>
        <w:t xml:space="preserve"> </w:t>
      </w:r>
      <w:r>
        <w:t xml:space="preserve">shall be treated with the highest degree of confidentiality. Lyon Educational Support Group and its personnel are bound by the General Data Protection Regulation (GDPR) as applicable in France, as well as the specific provisions of the French Education Code regarding the protection of minors. No student information shall be disclosed to third parties without the explicit written consent of the student's legal guardian, except where mandated by French law.</w:t>
      </w:r>
    </w:p>
    <w:bookmarkEnd w:id="26"/>
    <w:bookmarkStart w:id="27" w:name="termination-clause"/>
    <w:p>
      <w:pPr>
        <w:pStyle w:val="Heading2"/>
      </w:pPr>
      <w:r>
        <w:t xml:space="preserve">7. Termination Clause</w:t>
      </w:r>
    </w:p>
    <w:p>
      <w:pPr>
        <w:pStyle w:val="FirstParagraph"/>
      </w:pPr>
      <w:r>
        <w:t xml:space="preserve">Either party may terminate the engagement of the</w:t>
      </w:r>
      <w:r>
        <w:t xml:space="preserve"> </w:t>
      </w:r>
      <w:r>
        <w:t xml:space="preserve">School Counselor</w:t>
      </w:r>
      <w:r>
        <w:t xml:space="preserve"> </w:t>
      </w:r>
      <w:r>
        <w:t xml:space="preserve">by providing sixty (60) days' written notice. In the event of early termination, the client shall be liable for all services rendered up to the termination date, plus any non-recoverable costs incurred by the provider. This clause is without prejudice to either party's rights under French labor law and the terms of this</w:t>
      </w:r>
      <w:r>
        <w:t xml:space="preserve"> </w:t>
      </w:r>
      <w:r>
        <w:t xml:space="preserve">Quotation Estimate</w:t>
      </w:r>
      <w:r>
        <w:t xml:space="preserve">.</w:t>
      </w:r>
    </w:p>
    <w:bookmarkEnd w:id="27"/>
    <w:p>
      <w:pPr>
        <w:pStyle w:val="BodyText"/>
      </w:pPr>
      <w:r>
        <w:rPr>
          <w:bCs/>
          <w:b/>
        </w:rPr>
        <w:t xml:space="preserve">For Lyon Educational Support Group:</w:t>
      </w:r>
    </w:p>
    <w:p>
      <w:pPr>
        <w:pStyle w:val="BodyText"/>
      </w:pPr>
      <w:r>
        <w:t xml:space="preserve">Name: Mr. Antoine Lefèvre</w:t>
      </w:r>
      <w:r>
        <w:br/>
      </w:r>
      <w:r>
        <w:t xml:space="preserve">Title: Director of Services</w:t>
      </w:r>
      <w:r>
        <w:br/>
      </w:r>
      <w:r>
        <w:t xml:space="preserve">Signature &amp; Date: _________________________</w:t>
      </w:r>
    </w:p>
    <w:p>
      <w:pPr>
        <w:pStyle w:val="BodyText"/>
      </w:pPr>
      <w:r>
        <w:rPr>
          <w:bCs/>
          <w:b/>
        </w:rPr>
        <w:t xml:space="preserve">For Lycée International de Lyon:</w:t>
      </w:r>
    </w:p>
    <w:p>
      <w:pPr>
        <w:pStyle w:val="BodyText"/>
      </w:pPr>
      <w:r>
        <w:t xml:space="preserve">Name: Mme. Claire Dubois</w:t>
      </w:r>
      <w:r>
        <w:br/>
      </w:r>
      <w:r>
        <w:t xml:space="preserve">Title: Principal</w:t>
      </w:r>
      <w:r>
        <w:br/>
      </w:r>
      <w:r>
        <w:t xml:space="preserve">Signature &amp; Date: _________________________</w:t>
      </w:r>
    </w:p>
    <w:p>
      <w:pPr>
        <w:pStyle w:val="BodyText"/>
      </w:pPr>
      <w:r>
        <w:t xml:space="preserve">This Quotation Estimate document was prepared exclusively for the Lycée International de Lyon, France Lyon. It does not constitute a binding contract until formally accepted in writing by both parties. Lyon Educational Support Group — SIRET: 842 567 891 00012 — Lyon, France.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School Counselor Services - France Lyon</dc:title>
  <dc:creator/>
  <dc:language>en</dc:language>
  <cp:keywords/>
  <dcterms:created xsi:type="dcterms:W3CDTF">2026-10-10T09:17:09Z</dcterms:created>
  <dcterms:modified xsi:type="dcterms:W3CDTF">2026-10-10T09:17:09Z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 initial-scale=1.0</vt:lpwstr>
  </property>
</Properties>
</file>