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Iran</w:t>
      </w:r>
      <w:r>
        <w:t xml:space="preserve"> </w:t>
      </w:r>
      <w:r>
        <w:t xml:space="preserve">Tehran</w:t>
      </w:r>
    </w:p>
    <w:bookmarkStart w:id="21" w:name="meridian-educational-consulting-group"/>
    <w:p>
      <w:pPr>
        <w:pStyle w:val="Heading1"/>
      </w:pPr>
      <w:r>
        <w:t xml:space="preserve">Meridian Educational Consulting Group</w:t>
      </w:r>
    </w:p>
    <w:bookmarkStart w:id="20" w:name="Xb4908755118d06ddb1b99b2257119f89063274c"/>
    <w:p>
      <w:pPr>
        <w:pStyle w:val="Heading2"/>
      </w:pPr>
      <w:r>
        <w:t xml:space="preserve">Professional School Counseling &amp; Student Support Services</w:t>
      </w:r>
    </w:p>
    <w:p>
      <w:pPr>
        <w:pStyle w:val="FirstParagraph"/>
      </w:pPr>
      <w:r>
        <w:t xml:space="preserve">Address: 142 Valiasr Street, 12th Floor, Tehran, Iran | Tel: +98-21-8876-5432 | Email: info@meridianedu.ir</w:t>
      </w:r>
    </w:p>
    <w:bookmarkEnd w:id="20"/>
    <w:bookmarkEnd w:id="21"/>
    <w:p>
      <w:pPr>
        <w:pStyle w:val="BodyText"/>
      </w:pPr>
      <w:r>
        <w:t xml:space="preserve">Quotation Estimate</w:t>
      </w:r>
    </w:p>
    <w:bookmarkStart w:id="22" w:name="prepared-for-client"/>
    <w:p>
      <w:pPr>
        <w:pStyle w:val="Heading3"/>
      </w:pPr>
      <w:r>
        <w:t xml:space="preserve">Prepared For (Client)</w:t>
      </w:r>
    </w:p>
    <w:p>
      <w:pPr>
        <w:pStyle w:val="FirstParagraph"/>
      </w:pPr>
      <w:r>
        <w:rPr>
          <w:bCs/>
          <w:b/>
        </w:rPr>
        <w:t xml:space="preserve">Organization:</w:t>
      </w:r>
      <w:r>
        <w:t xml:space="preserve"> </w:t>
      </w:r>
      <w:r>
        <w:t xml:space="preserve">Alborz Public School, District 12</w:t>
      </w:r>
    </w:p>
    <w:p>
      <w:pPr>
        <w:pStyle w:val="BodyText"/>
      </w:pPr>
      <w:r>
        <w:rPr>
          <w:bCs/>
          <w:b/>
        </w:rPr>
        <w:t xml:space="preserve">Location:</w:t>
      </w:r>
      <w:r>
        <w:t xml:space="preserve"> </w:t>
      </w:r>
      <w:r>
        <w:t xml:space="preserve">Tehran, Iran</w:t>
      </w:r>
    </w:p>
    <w:p>
      <w:pPr>
        <w:pStyle w:val="BodyText"/>
      </w:pPr>
      <w:r>
        <w:rPr>
          <w:bCs/>
          <w:b/>
        </w:rPr>
        <w:t xml:space="preserve">Attn:</w:t>
      </w:r>
      <w:r>
        <w:t xml:space="preserve"> </w:t>
      </w:r>
      <w:r>
        <w:t xml:space="preserve">Dr. Maryam Rahimi, Principal</w:t>
      </w:r>
    </w:p>
    <w:p>
      <w:pPr>
        <w:pStyle w:val="BodyText"/>
      </w:pPr>
      <w:r>
        <w:rPr>
          <w:bCs/>
          <w:b/>
        </w:rPr>
        <w:t xml:space="preserve">Contact:</w:t>
      </w:r>
      <w:r>
        <w:t xml:space="preserve"> </w:t>
      </w:r>
      <w:r>
        <w:t xml:space="preserve">principal@alborzschool.ir</w:t>
      </w:r>
    </w:p>
    <w:bookmarkEnd w:id="22"/>
    <w:bookmarkStart w:id="23" w:name="quotation-details"/>
    <w:p>
      <w:pPr>
        <w:pStyle w:val="Heading3"/>
      </w:pPr>
      <w:r>
        <w:t xml:space="preserve">Quotation Details</w:t>
      </w:r>
    </w:p>
    <w:p>
      <w:pPr>
        <w:pStyle w:val="FirstParagraph"/>
      </w:pPr>
      <w:r>
        <w:rPr>
          <w:bCs/>
          <w:b/>
        </w:rPr>
        <w:t xml:space="preserve">Quotation No.:</w:t>
      </w:r>
      <w:r>
        <w:t xml:space="preserve"> </w:t>
      </w:r>
      <w:r>
        <w:t xml:space="preserve">QTE-2025-TEH-0347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Region:</w:t>
      </w:r>
      <w:r>
        <w:t xml:space="preserve"> </w:t>
      </w:r>
      <w:r>
        <w:t xml:space="preserve">Iran Tehran Metropolitan Area</w:t>
      </w:r>
    </w:p>
    <w:bookmarkEnd w:id="23"/>
    <w:bookmarkStart w:id="24" w:name="Xf29a76263218eb5919e0fce5ca8ed621d852bd7"/>
    <w:p>
      <w:pPr>
        <w:pStyle w:val="Heading2"/>
      </w:pPr>
      <w:r>
        <w:t xml:space="preserve">Scope of Services: School Counselor Program</w:t>
      </w:r>
    </w:p>
    <w:p>
      <w:pPr>
        <w:pStyle w:val="FirstParagraph"/>
      </w:pPr>
      <w:r>
        <w:t xml:space="preserve">This</w:t>
      </w:r>
      <w:r>
        <w:t xml:space="preserve"> </w:t>
      </w:r>
      <w:r>
        <w:t xml:space="preserve">Quotation Estimate</w:t>
      </w:r>
      <w:r>
        <w:t xml:space="preserve"> </w:t>
      </w:r>
      <w:r>
        <w:t xml:space="preserve">is issued by Meridian Educational Consulting Group in response to the formal request submitted by Alborz Public School, located in the heart of</w:t>
      </w:r>
      <w:r>
        <w:t xml:space="preserve"> </w:t>
      </w:r>
      <w:r>
        <w:t xml:space="preserve">Iran Tehran</w:t>
      </w:r>
      <w:r>
        <w:t xml:space="preserve">, for the provision of a comprehensive</w:t>
      </w:r>
      <w:r>
        <w:t xml:space="preserve"> </w:t>
      </w:r>
      <w:r>
        <w:t xml:space="preserve">School Counselor</w:t>
      </w:r>
      <w:r>
        <w:t xml:space="preserve"> </w:t>
      </w:r>
      <w:r>
        <w:t xml:space="preserve">engagement for the 2025–2026 academic year. The services outlined below are designed to meet the specific educational, psychological, and developmental needs of students enrolled in this institution within the Tehran municipality. All pricing is presented in Iranian Rial (IRR) and reflects current market rates applicable to the</w:t>
      </w:r>
      <w:r>
        <w:t xml:space="preserve"> </w:t>
      </w:r>
      <w:r>
        <w:t xml:space="preserve">Iran Tehran</w:t>
      </w:r>
      <w:r>
        <w:t xml:space="preserve"> </w:t>
      </w:r>
      <w:r>
        <w:t xml:space="preserve">educational services sector.</w:t>
      </w:r>
    </w:p>
    <w:bookmarkEnd w:id="24"/>
    <w:bookmarkStart w:id="25"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(IRR)</w:t>
            </w:r>
          </w:p>
        </w:tc>
        <w:tc>
          <w:tcPr/>
          <w:p>
            <w:pPr>
              <w:pStyle w:val="Compact"/>
              <w:jc w:val="left"/>
            </w:pPr>
            <w:r>
              <w:t xml:space="preserve">Total (IRR)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Full-time</w:t>
            </w:r>
            <w:r>
              <w:t xml:space="preserve"> </w:t>
            </w:r>
            <w:r>
              <w:rPr>
                <w:bCs/>
                <w:b/>
              </w:rPr>
              <w:t xml:space="preserve">School Counselor</w:t>
            </w:r>
            <w:r>
              <w:t xml:space="preserve"> </w:t>
            </w:r>
            <w:r>
              <w:t xml:space="preserve">(Licensed Clinical Psychologist) – Individual student counseling sessions, academic guidance, and behavioral support</w:t>
            </w:r>
          </w:p>
        </w:tc>
        <w:tc>
          <w:tcPr/>
          <w:p>
            <w:pPr>
              <w:pStyle w:val="Compact"/>
              <w:jc w:val="left"/>
            </w:pPr>
            <w:r>
              <w:t xml:space="preserve">10 months (Sep 2025 – Jun 2026), 5 days/week</w:t>
            </w:r>
          </w:p>
        </w:tc>
        <w:tc>
          <w:tcPr/>
          <w:p>
            <w:pPr>
              <w:pStyle w:val="Compact"/>
              <w:jc w:val="left"/>
            </w:pPr>
            <w:r>
              <w:t xml:space="preserve">85,000,000 / month</w:t>
            </w:r>
          </w:p>
        </w:tc>
        <w:tc>
          <w:tcPr/>
          <w:p>
            <w:pPr>
              <w:pStyle w:val="Compact"/>
              <w:jc w:val="left"/>
            </w:pPr>
            <w:r>
              <w:t xml:space="preserve">850,000,000</w:t>
            </w:r>
          </w:p>
        </w:tc>
        <w:tc>
          <w:tcPr/>
          <w:p>
            <w:pPr>
              <w:pStyle w:val="Compact"/>
              <w:jc w:val="left"/>
            </w:pPr>
            <w:r>
              <w:t xml:space="preserve">Primary counselor, 40 hrs/week</w:t>
            </w:r>
          </w:p>
        </w:tc>
      </w:tr>
      <w:tr>
        <w:tc>
          <w:tcPr/>
          <w:p>
            <w:pPr>
              <w:pStyle w:val="Compact"/>
              <w:jc w:val="left"/>
            </w:pPr>
            <w:r>
              <w:t xml:space="preserve">2</w:t>
            </w:r>
          </w:p>
        </w:tc>
        <w:tc>
          <w:tcPr/>
          <w:p>
            <w:pPr>
              <w:pStyle w:val="Compact"/>
              <w:jc w:val="left"/>
            </w:pPr>
            <w:r>
              <w:t xml:space="preserve">Part-time</w:t>
            </w:r>
            <w:r>
              <w:t xml:space="preserve"> </w:t>
            </w:r>
            <w:r>
              <w:rPr>
                <w:bCs/>
                <w:b/>
              </w:rPr>
              <w:t xml:space="preserve">School Counselor</w:t>
            </w:r>
            <w:r>
              <w:t xml:space="preserve"> </w:t>
            </w:r>
            <w:r>
              <w:t xml:space="preserve">(Specialized in Adolescent Mental Health) – Group therapy, crisis intervention, and parent workshops</w:t>
            </w:r>
          </w:p>
        </w:tc>
        <w:tc>
          <w:tcPr/>
          <w:p>
            <w:pPr>
              <w:pStyle w:val="Compact"/>
              <w:jc w:val="left"/>
            </w:pPr>
            <w:r>
              <w:t xml:space="preserve">10 months, 3 days/week</w:t>
            </w:r>
          </w:p>
        </w:tc>
        <w:tc>
          <w:tcPr/>
          <w:p>
            <w:pPr>
              <w:pStyle w:val="Compact"/>
              <w:jc w:val="left"/>
            </w:pPr>
            <w:r>
              <w:t xml:space="preserve">52,000,000 / month</w:t>
            </w:r>
          </w:p>
        </w:tc>
        <w:tc>
          <w:tcPr/>
          <w:p>
            <w:pPr>
              <w:pStyle w:val="Compact"/>
              <w:jc w:val="left"/>
            </w:pPr>
            <w:r>
              <w:t xml:space="preserve">520,000,000</w:t>
            </w:r>
          </w:p>
        </w:tc>
        <w:tc>
          <w:tcPr/>
          <w:p>
            <w:pPr>
              <w:pStyle w:val="Compact"/>
              <w:jc w:val="left"/>
            </w:pPr>
            <w:r>
              <w:t xml:space="preserve">Secondary counselor, 24 hrs/week</w:t>
            </w:r>
          </w:p>
        </w:tc>
      </w:tr>
      <w:tr>
        <w:tc>
          <w:tcPr/>
          <w:p>
            <w:pPr>
              <w:pStyle w:val="Compact"/>
              <w:jc w:val="left"/>
            </w:pPr>
            <w:r>
              <w:t xml:space="preserve">3</w:t>
            </w:r>
          </w:p>
        </w:tc>
        <w:tc>
          <w:tcPr/>
          <w:p>
            <w:pPr>
              <w:pStyle w:val="Compact"/>
              <w:jc w:val="left"/>
            </w:pPr>
            <w:r>
              <w:t xml:space="preserve">Psychometric Assessment &amp; Diagnostic Battery Administration for all enrolled students (ages 6–18)</w:t>
            </w:r>
          </w:p>
        </w:tc>
        <w:tc>
          <w:tcPr/>
          <w:p>
            <w:pPr>
              <w:pStyle w:val="Compact"/>
              <w:jc w:val="left"/>
            </w:pPr>
            <w:r>
              <w:t xml:space="preserve">One-time, first 6 weeks of term</w:t>
            </w:r>
          </w:p>
        </w:tc>
        <w:tc>
          <w:tcPr/>
          <w:p>
            <w:pPr>
              <w:pStyle w:val="Compact"/>
              <w:jc w:val="left"/>
            </w:pPr>
            <w:r>
              <w:t xml:space="preserve">1,200,000 / student</w:t>
            </w:r>
          </w:p>
        </w:tc>
        <w:tc>
          <w:tcPr/>
          <w:p>
            <w:pPr>
              <w:pStyle w:val="Compact"/>
              <w:jc w:val="left"/>
            </w:pPr>
            <w:r>
              <w:t xml:space="preserve">144,000,000</w:t>
            </w:r>
          </w:p>
        </w:tc>
        <w:tc>
          <w:tcPr/>
          <w:p>
            <w:pPr>
              <w:pStyle w:val="Compact"/>
              <w:jc w:val="left"/>
            </w:pPr>
            <w:r>
              <w:t xml:space="preserve">Based on 120 students</w:t>
            </w:r>
          </w:p>
        </w:tc>
      </w:tr>
      <w:tr>
        <w:tc>
          <w:tcPr/>
          <w:p>
            <w:pPr>
              <w:pStyle w:val="Compact"/>
              <w:jc w:val="left"/>
            </w:pPr>
            <w:r>
              <w:t xml:space="preserve">4</w:t>
            </w:r>
          </w:p>
        </w:tc>
        <w:tc>
          <w:tcPr/>
          <w:p>
            <w:pPr>
              <w:pStyle w:val="Compact"/>
              <w:jc w:val="left"/>
            </w:pPr>
            <w:r>
              <w:t xml:space="preserve">Curriculum Development for Social-Emotional Learning (SEL) integrated into the</w:t>
            </w:r>
            <w:r>
              <w:t xml:space="preserve"> </w:t>
            </w:r>
            <w:r>
              <w:t xml:space="preserve">School Counselor</w:t>
            </w:r>
            <w:r>
              <w:t xml:space="preserve"> </w:t>
            </w:r>
            <w:r>
              <w:t xml:space="preserve">program</w:t>
            </w:r>
          </w:p>
        </w:tc>
        <w:tc>
          <w:tcPr/>
          <w:p>
            <w:pPr>
              <w:pStyle w:val="Compact"/>
              <w:jc w:val="left"/>
            </w:pPr>
            <w:r>
              <w:t xml:space="preserve">One-time project, 8 weeks</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Aligned with Iranian Ministry of Education standards</w:t>
            </w:r>
          </w:p>
        </w:tc>
      </w:tr>
      <w:tr>
        <w:tc>
          <w:tcPr/>
          <w:p>
            <w:pPr>
              <w:pStyle w:val="Compact"/>
              <w:jc w:val="left"/>
            </w:pPr>
            <w:r>
              <w:t xml:space="preserve">5</w:t>
            </w:r>
          </w:p>
        </w:tc>
        <w:tc>
          <w:tcPr/>
          <w:p>
            <w:pPr>
              <w:pStyle w:val="Compact"/>
              <w:jc w:val="left"/>
            </w:pPr>
            <w:r>
              <w:t xml:space="preserve">Parent &amp; Guardian Orientation Workshops (4 sessions per term) – Conducted by the</w:t>
            </w:r>
            <w:r>
              <w:t xml:space="preserve"> </w:t>
            </w:r>
            <w:r>
              <w:t xml:space="preserve">School Counselor</w:t>
            </w:r>
            <w:r>
              <w:t xml:space="preserve"> </w:t>
            </w:r>
            <w:r>
              <w:t xml:space="preserve">team</w:t>
            </w:r>
          </w:p>
        </w:tc>
        <w:tc>
          <w:tcPr/>
          <w:p>
            <w:pPr>
              <w:pStyle w:val="Compact"/>
              <w:jc w:val="left"/>
            </w:pPr>
            <w:r>
              <w:t xml:space="preserve">8 sessions total (2 per term)</w:t>
            </w:r>
          </w:p>
        </w:tc>
        <w:tc>
          <w:tcPr/>
          <w:p>
            <w:pPr>
              <w:pStyle w:val="Compact"/>
              <w:jc w:val="left"/>
            </w:pPr>
            <w:r>
              <w:t xml:space="preserve">8,000,000 / session</w:t>
            </w:r>
          </w:p>
        </w:tc>
        <w:tc>
          <w:tcPr/>
          <w:p>
            <w:pPr>
              <w:pStyle w:val="Compact"/>
              <w:jc w:val="left"/>
            </w:pPr>
            <w:r>
              <w:t xml:space="preserve">64,000,000</w:t>
            </w:r>
          </w:p>
        </w:tc>
        <w:tc>
          <w:tcPr/>
          <w:p>
            <w:pPr>
              <w:pStyle w:val="Compact"/>
              <w:jc w:val="left"/>
            </w:pPr>
            <w:r>
              <w:t xml:space="preserve">Includes printed materials in Farsi</w:t>
            </w:r>
          </w:p>
        </w:tc>
      </w:tr>
      <w:tr>
        <w:tc>
          <w:tcPr/>
          <w:p>
            <w:pPr>
              <w:pStyle w:val="Compact"/>
              <w:jc w:val="left"/>
            </w:pPr>
            <w:r>
              <w:t xml:space="preserve">6</w:t>
            </w:r>
          </w:p>
        </w:tc>
        <w:tc>
          <w:tcPr/>
          <w:p>
            <w:pPr>
              <w:pStyle w:val="Compact"/>
              <w:jc w:val="left"/>
            </w:pPr>
            <w:r>
              <w:t xml:space="preserve">Crisis Response &amp; Emergency Psychological First Aid Protocol Setup</w:t>
            </w:r>
          </w:p>
        </w:tc>
        <w:tc>
          <w:tcPr/>
          <w:p>
            <w:pPr>
              <w:pStyle w:val="Compact"/>
              <w:jc w:val="left"/>
            </w:pPr>
            <w:r>
              <w:t xml:space="preserve">One-time implementation + 10-month standby</w:t>
            </w:r>
          </w:p>
        </w:tc>
        <w:tc>
          <w:tcPr/>
          <w:p>
            <w:pPr>
              <w:pStyle w:val="Compact"/>
              <w:jc w:val="left"/>
            </w:pPr>
            <w:r>
              <w:t xml:space="preserve">35,000,000</w:t>
            </w:r>
          </w:p>
        </w:tc>
        <w:tc>
          <w:tcPr/>
          <w:p>
            <w:pPr>
              <w:pStyle w:val="Compact"/>
              <w:jc w:val="left"/>
            </w:pPr>
            <w:r>
              <w:t xml:space="preserve">35,000,000</w:t>
            </w:r>
          </w:p>
        </w:tc>
        <w:tc>
          <w:tcPr/>
          <w:p>
            <w:pPr>
              <w:pStyle w:val="Compact"/>
              <w:jc w:val="left"/>
            </w:pPr>
            <w:r>
              <w:t xml:space="preserve">24/7 hotline coordination for Tehran area</w:t>
            </w:r>
          </w:p>
        </w:tc>
      </w:tr>
      <w:tr>
        <w:tc>
          <w:tcPr/>
          <w:p>
            <w:pPr>
              <w:pStyle w:val="Compact"/>
              <w:jc w:val="left"/>
            </w:pPr>
            <w:r>
              <w:t xml:space="preserve">7</w:t>
            </w:r>
          </w:p>
        </w:tc>
        <w:tc>
          <w:tcPr/>
          <w:p>
            <w:pPr>
              <w:pStyle w:val="Compact"/>
              <w:jc w:val="left"/>
            </w:pPr>
            <w:r>
              <w:t xml:space="preserve">Monthly Progress Reporting &amp; Administrative Oversight by Senior</w:t>
            </w:r>
            <w:r>
              <w:t xml:space="preserve"> </w:t>
            </w:r>
            <w:r>
              <w:t xml:space="preserve">School Counselor</w:t>
            </w:r>
            <w:r>
              <w:t xml:space="preserve"> </w:t>
            </w:r>
            <w:r>
              <w:t xml:space="preserve">Supervisor</w:t>
            </w:r>
          </w:p>
        </w:tc>
        <w:tc>
          <w:tcPr/>
          <w:p>
            <w:pPr>
              <w:pStyle w:val="Compact"/>
              <w:jc w:val="left"/>
            </w:pPr>
            <w:r>
              <w:t xml:space="preserve">10 months</w:t>
            </w:r>
          </w:p>
        </w:tc>
        <w:tc>
          <w:tcPr/>
          <w:p>
            <w:pPr>
              <w:pStyle w:val="Compact"/>
              <w:jc w:val="left"/>
            </w:pPr>
            <w:r>
              <w:t xml:space="preserve">12,000,000 / month</w:t>
            </w:r>
          </w:p>
        </w:tc>
        <w:tc>
          <w:tcPr/>
          <w:p>
            <w:pPr>
              <w:pStyle w:val="Compact"/>
              <w:jc w:val="left"/>
            </w:pPr>
            <w:r>
              <w:t xml:space="preserve">120,000,000</w:t>
            </w:r>
          </w:p>
        </w:tc>
        <w:tc>
          <w:tcPr/>
          <w:p>
            <w:pPr>
              <w:pStyle w:val="Compact"/>
              <w:jc w:val="left"/>
            </w:pPr>
            <w:r>
              <w:t xml:space="preserve">Includes quarterly board presentations</w:t>
            </w:r>
          </w:p>
        </w:tc>
      </w:tr>
      <w:tr>
        <w:tc>
          <w:tcPr/>
          <w:p>
            <w:pPr>
              <w:pStyle w:val="Compact"/>
              <w:jc w:val="left"/>
            </w:pPr>
            <w:r>
              <w:t xml:space="preserve">8</w:t>
            </w:r>
          </w:p>
        </w:tc>
        <w:tc>
          <w:tcPr/>
          <w:p>
            <w:pPr>
              <w:pStyle w:val="Compact"/>
              <w:jc w:val="left"/>
            </w:pPr>
            <w:r>
              <w:t xml:space="preserve">Office Setup, Confidential Counseling Room Furnishing, and Secure Record-Management System</w:t>
            </w:r>
          </w:p>
        </w:tc>
        <w:tc>
          <w:tcPr/>
          <w:p>
            <w:pPr>
              <w:pStyle w:val="Compact"/>
              <w:jc w:val="left"/>
            </w:pPr>
            <w:r>
              <w:t xml:space="preserve">One-time</w:t>
            </w:r>
          </w:p>
        </w:tc>
        <w:tc>
          <w:tcPr/>
          <w:p>
            <w:pPr>
              <w:pStyle w:val="Compact"/>
              <w:jc w:val="left"/>
            </w:pPr>
            <w:r>
              <w:t xml:space="preserve">68,000,000</w:t>
            </w:r>
          </w:p>
        </w:tc>
        <w:tc>
          <w:tcPr/>
          <w:p>
            <w:pPr>
              <w:pStyle w:val="Compact"/>
              <w:jc w:val="left"/>
            </w:pPr>
            <w:r>
              <w:t xml:space="preserve">68,000,000</w:t>
            </w:r>
          </w:p>
        </w:tc>
        <w:tc>
          <w:tcPr/>
          <w:p>
            <w:pPr>
              <w:pStyle w:val="Compact"/>
              <w:jc w:val="left"/>
            </w:pPr>
            <w:r>
              <w:t xml:space="preserve">Compliant with Tehran municipal building codes</w:t>
            </w:r>
          </w:p>
        </w:tc>
      </w:tr>
      <w:tr>
        <w:tc>
          <w:tcPr>
            <w:gridSpan w:val="4"/>
          </w:tcPr>
          <w:p>
            <w:pPr>
              <w:pStyle w:val="Compact"/>
              <w:jc w:val="left"/>
            </w:pPr>
            <w:r>
              <w:t xml:space="preserve">TOTAL QUOTATION ESTIMATE (All Inclusive)</w:t>
            </w:r>
          </w:p>
        </w:tc>
        <w:tc>
          <w:tcPr/>
          <w:p>
            <w:pPr>
              <w:pStyle w:val="Compact"/>
              <w:jc w:val="left"/>
            </w:pPr>
            <w:r>
              <w:t xml:space="preserve">1,906,000,000 IRR</w:t>
            </w:r>
          </w:p>
        </w:tc>
        <w:tc>
          <w:tcPr/>
          <w:p>
            <w:pPr>
              <w:pStyle w:val="Compact"/>
            </w:pPr>
          </w:p>
        </w:tc>
      </w:tr>
    </w:tbl>
    <w:p>
      <w:pPr>
        <w:pStyle w:val="BodyText"/>
      </w:pPr>
      <w:r>
        <w:rPr>
          <w:bCs/>
          <w:b/>
        </w:rPr>
        <w:t xml:space="preserve">Grand Total: One Billion Nine Hundred Six Million Iranian Rials (1,906,000,000 IRR)</w:t>
      </w:r>
    </w:p>
    <w:p>
      <w:pPr>
        <w:pStyle w:val="BodyText"/>
      </w:pPr>
      <w:r>
        <w:rPr>
          <w:iCs/>
          <w:i/>
        </w:rPr>
        <w:t xml:space="preserve">Approximate USD equivalent at current Tehran interbank rate: ~$4,500 (subject to fluctuation)</w:t>
      </w:r>
    </w:p>
    <w:bookmarkEnd w:id="25"/>
    <w:bookmarkStart w:id="26" w:name="X06f751c0fef37426aad28df54ec1acd620508e5"/>
    <w:p>
      <w:pPr>
        <w:pStyle w:val="Heading2"/>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15 July 2025, all rates listed herein shall be subject to revision based on prevailing economic conditions in</w:t>
      </w:r>
      <w:r>
        <w:t xml:space="preserve"> </w:t>
      </w:r>
      <w:r>
        <w:t xml:space="preserve">Iran Tehran</w:t>
      </w:r>
      <w:r>
        <w:t xml:space="preserve">.</w:t>
      </w:r>
    </w:p>
    <w:p>
      <w:pPr>
        <w:numPr>
          <w:ilvl w:val="0"/>
          <w:numId w:val="1001"/>
        </w:numPr>
        <w:pStyle w:val="Compact"/>
      </w:pPr>
      <w:r>
        <w:t xml:space="preserve">Payment shall be structured as follows: 20% advance upon contract signing, 60% disbursed in equal monthly installments over the 10-month engagement period, and 20% upon successful completion of the academic year and final report delivery.</w:t>
      </w:r>
    </w:p>
    <w:p>
      <w:pPr>
        <w:numPr>
          <w:ilvl w:val="0"/>
          <w:numId w:val="1001"/>
        </w:numPr>
        <w:pStyle w:val="Compact"/>
      </w:pPr>
      <w:r>
        <w:t xml:space="preserve">All</w:t>
      </w:r>
      <w:r>
        <w:t xml:space="preserve"> </w:t>
      </w:r>
      <w:r>
        <w:t xml:space="preserve">School Counselor</w:t>
      </w:r>
      <w:r>
        <w:t xml:space="preserve"> </w:t>
      </w:r>
      <w:r>
        <w:t xml:space="preserve">personnel assigned to this engagement shall hold valid licenses issued by the Iranian Ministry of Health and the relevant Tehran provincial educational authority. Credentials and professional references will be provided prior to commencement.</w:t>
      </w:r>
    </w:p>
    <w:p>
      <w:pPr>
        <w:numPr>
          <w:ilvl w:val="0"/>
          <w:numId w:val="1001"/>
        </w:numPr>
        <w:pStyle w:val="Compact"/>
      </w:pPr>
      <w:r>
        <w:t xml:space="preserve">Confidentiality of all student records, session notes, and assessment data is guaranteed in accordance with Iranian data protection regulations and the ethical code of the Iranian Psychological Association. No information shall be disclosed outside the school premises in Tehran without written parental consent.</w:t>
      </w:r>
    </w:p>
    <w:p>
      <w:pPr>
        <w:numPr>
          <w:ilvl w:val="0"/>
          <w:numId w:val="1001"/>
        </w:numPr>
        <w:pStyle w:val="Compact"/>
      </w:pPr>
      <w:r>
        <w:t xml:space="preserve">The</w:t>
      </w:r>
      <w:r>
        <w:t xml:space="preserve"> </w:t>
      </w:r>
      <w:r>
        <w:t xml:space="preserve">School Counselor</w:t>
      </w:r>
      <w:r>
        <w:t xml:space="preserve"> </w:t>
      </w:r>
      <w:r>
        <w:t xml:space="preserve">team shall operate exclusively within the Alborz Public School campus in Tehran, Iran, during designated school hours. Off-site activities (e.g., parent workshops at community centers in Tehran) require prior written approval from the school administration.</w:t>
      </w:r>
    </w:p>
    <w:p>
      <w:pPr>
        <w:numPr>
          <w:ilvl w:val="0"/>
          <w:numId w:val="1001"/>
        </w:numPr>
        <w:pStyle w:val="Compact"/>
      </w:pPr>
      <w:r>
        <w:t xml:space="preserve">Any scope modifications, additional student enrollments beyond the 120-student baseline, or extended crisis-response activations will be documented in a supplementary</w:t>
      </w:r>
      <w:r>
        <w:t xml:space="preserve"> </w:t>
      </w:r>
      <w:r>
        <w:t xml:space="preserve">Quotation Estimate</w:t>
      </w:r>
      <w:r>
        <w:t xml:space="preserve"> </w:t>
      </w:r>
      <w:r>
        <w:t xml:space="preserve">addendum, signed by both parties before execution.</w:t>
      </w:r>
    </w:p>
    <w:p>
      <w:pPr>
        <w:numPr>
          <w:ilvl w:val="0"/>
          <w:numId w:val="1001"/>
        </w:numPr>
        <w:pStyle w:val="Compact"/>
      </w:pPr>
      <w:r>
        <w:t xml:space="preserve">This quotation does not include costs for external hospital referrals, psychiatric medication, or long-term residential treatment, should a student's needs exceed the scope of in-school counseling services.</w:t>
      </w:r>
    </w:p>
    <w:p>
      <w:pPr>
        <w:numPr>
          <w:ilvl w:val="0"/>
          <w:numId w:val="1001"/>
        </w:numPr>
        <w:pStyle w:val="Compact"/>
      </w:pPr>
      <w:r>
        <w:t xml:space="preserve">Disputes arising from this agreement shall be resolved through mediation under the jurisdiction of the Tehran Provincial Arbitration Council in accordance with Iranian civil law.</w:t>
      </w:r>
    </w:p>
    <w:p>
      <w:pPr>
        <w:numPr>
          <w:ilvl w:val="0"/>
          <w:numId w:val="1001"/>
        </w:numPr>
        <w:pStyle w:val="Compact"/>
      </w:pPr>
      <w:r>
        <w:t xml:space="preserve">Force majeure events, including but not limited to natural disasters affecting the Tehran metropolitan region, may result in temporary service suspension without penalty to either party.</w:t>
      </w:r>
    </w:p>
    <w:bookmarkEnd w:id="26"/>
    <w:bookmarkStart w:id="27" w:name="acceptance-authorization"/>
    <w:p>
      <w:pPr>
        <w:pStyle w:val="Heading2"/>
      </w:pPr>
      <w:r>
        <w:t xml:space="preserve">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structure outlined for the</w:t>
      </w:r>
      <w:r>
        <w:t xml:space="preserve"> </w:t>
      </w:r>
      <w:r>
        <w:t xml:space="preserve">School Counselor</w:t>
      </w:r>
      <w:r>
        <w:t xml:space="preserve"> </w:t>
      </w:r>
      <w:r>
        <w:t xml:space="preserve">services to be delivered at the designated facility in</w:t>
      </w:r>
      <w:r>
        <w:t xml:space="preserve"> </w:t>
      </w:r>
      <w:r>
        <w:t xml:space="preserve">Iran Tehran</w:t>
      </w:r>
      <w:r>
        <w:t xml:space="preserve">.</w:t>
      </w:r>
    </w:p>
    <w:p>
      <w:pPr>
        <w:pStyle w:val="BodyText"/>
      </w:pPr>
      <w:r>
        <w:rPr>
          <w:bCs/>
          <w:b/>
        </w:rPr>
        <w:t xml:space="preserve">For Meridian Educational Consulting Group</w:t>
      </w:r>
      <w:r>
        <w:br/>
      </w:r>
      <w:r>
        <w:t xml:space="preserve">Name: Dr. Amir Hosseini, Managing Director</w:t>
      </w:r>
      <w:r>
        <w:br/>
      </w:r>
      <w:r>
        <w:t xml:space="preserve">Signature &amp; Company Seal: _________________________</w:t>
      </w:r>
      <w:r>
        <w:br/>
      </w:r>
      <w:r>
        <w:t xml:space="preserve">Date: _______________</w:t>
      </w:r>
    </w:p>
    <w:p>
      <w:pPr>
        <w:pStyle w:val="BodyText"/>
      </w:pPr>
      <w:r>
        <w:rPr>
          <w:bCs/>
          <w:b/>
        </w:rPr>
        <w:t xml:space="preserve">For Alborz Public School, Tehran, Iran</w:t>
      </w:r>
      <w:r>
        <w:br/>
      </w:r>
      <w:r>
        <w:t xml:space="preserve">Name: Dr. Maryam Rahimi, Principal</w:t>
      </w:r>
      <w:r>
        <w:br/>
      </w:r>
      <w:r>
        <w:t xml:space="preserve">Signature &amp; School Seal: _________________________</w:t>
      </w:r>
      <w:r>
        <w:br/>
      </w:r>
      <w:r>
        <w:t xml:space="preserve">Date: _______________</w:t>
      </w:r>
    </w:p>
    <w:p>
      <w:pPr>
        <w:pStyle w:val="BodyText"/>
      </w:pPr>
      <w:r>
        <w:t xml:space="preserve">Meridian Educational Consulting Group | Registered in Tehran, Iran | Commercial Registration No. 114-8876543</w:t>
      </w:r>
    </w:p>
    <w:p>
      <w:pPr>
        <w:pStyle w:val="BodyText"/>
      </w:pPr>
      <w:r>
        <w:t xml:space="preserve">This Quotation Estimate document is generated electronically and carries the same legal validity as a signed hard copy under Iranian commercial law.</w:t>
      </w:r>
    </w:p>
    <w:p>
      <w:pPr>
        <w:pStyle w:val="BodyText"/>
      </w:pPr>
      <w:r>
        <w:t xml:space="preserve">Page 1 of 1 | Document Ref: QTE-2025-TEH-0347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Iran Tehran</dc:title>
  <dc:creator/>
  <dc:language>en</dc:language>
  <cp:keywords/>
  <dcterms:created xsi:type="dcterms:W3CDTF">2026-10-10T08:59:56Z</dcterms:created>
  <dcterms:modified xsi:type="dcterms:W3CDTF">2026-10-10T08:59:56Z</dcterms:modified>
</cp:coreProperties>
</file>

<file path=docProps/custom.xml><?xml version="1.0" encoding="utf-8"?>
<Properties xmlns="http://schemas.openxmlformats.org/officeDocument/2006/custom-properties" xmlns:vt="http://schemas.openxmlformats.org/officeDocument/2006/docPropsVTypes"/>
</file>