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quotation-estimate"/>
    <w:p>
      <w:pPr>
        <w:pStyle w:val="Heading1"/>
      </w:pPr>
      <w:r>
        <w:t xml:space="preserve">Quotation Estimate</w:t>
      </w:r>
    </w:p>
    <w:p>
      <w:pPr>
        <w:pStyle w:val="FirstParagraph"/>
      </w:pPr>
      <w:r>
        <w:rPr>
          <w:bCs/>
          <w:b/>
        </w:rPr>
        <w:t xml:space="preserve">Jerusalem Educational Support Services Ltd.</w:t>
      </w:r>
    </w:p>
    <w:p>
      <w:pPr>
        <w:pStyle w:val="BodyText"/>
      </w:pPr>
      <w:r>
        <w:t xml:space="preserve">12 King George Street, Jerusalem, Israel 97100</w:t>
      </w:r>
    </w:p>
    <w:p>
      <w:pPr>
        <w:pStyle w:val="BodyText"/>
      </w:pPr>
      <w:r>
        <w:t xml:space="preserve">Tel: +972-2-623-4567 | Email: info@jerusalemedusupport.co.il</w:t>
      </w:r>
    </w:p>
    <w:p>
      <w:pPr>
        <w:pStyle w:val="BodyText"/>
      </w:pPr>
      <w:r>
        <w:t xml:space="preserve">VAT: 51-234-567-8 | License No. IL-EDU-2024-0891</w:t>
      </w:r>
    </w:p>
    <w:bookmarkEnd w:id="20"/>
    <w:p>
      <w:pPr>
        <w:pStyle w:val="BodyText"/>
      </w:pPr>
      <w:r>
        <w:rPr>
          <w:bCs/>
          <w:b/>
        </w:rPr>
        <w:t xml:space="preserve">Quotation Estimate No.:</w:t>
      </w:r>
      <w:r>
        <w:t xml:space="preserve"> </w:t>
      </w:r>
      <w:r>
        <w:t xml:space="preserve">QE-JER-2025-0347</w:t>
      </w:r>
      <w:r>
        <w:br/>
      </w:r>
      <w:r>
        <w:rPr>
          <w:bCs/>
          <w:b/>
        </w:rPr>
        <w:t xml:space="preserve">Date Issued:</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rPr>
          <w:bCs/>
          <w:b/>
        </w:rPr>
        <w:t xml:space="preserve">Client:</w:t>
      </w:r>
      <w:r>
        <w:t xml:space="preserve"> </w:t>
      </w:r>
      <w:r>
        <w:t xml:space="preserve">Yeshiva HaTikva School, Jerusalem</w:t>
      </w:r>
      <w:r>
        <w:br/>
      </w:r>
      <w:r>
        <w:rPr>
          <w:bCs/>
          <w:b/>
        </w:rPr>
        <w:t xml:space="preserve">Address:</w:t>
      </w:r>
      <w:r>
        <w:t xml:space="preserve"> </w:t>
      </w:r>
      <w:r>
        <w:t xml:space="preserve">45 Herzl Boulevard, Jerusalem, Israel 91000</w:t>
      </w:r>
      <w:r>
        <w:br/>
      </w:r>
      <w:r>
        <w:rPr>
          <w:bCs/>
          <w:b/>
        </w:rPr>
        <w:t xml:space="preserve">Contact:</w:t>
      </w:r>
      <w:r>
        <w:t xml:space="preserve"> </w:t>
      </w:r>
      <w:r>
        <w:t xml:space="preserve">Principal R. David Levi</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Jerusalem Educational Support Services Ltd. to provide a comprehensive financial breakdown for the engagement of a qualified</w:t>
      </w:r>
      <w:r>
        <w:t xml:space="preserve"> </w:t>
      </w:r>
      <w:r>
        <w:t xml:space="preserve">School Counselor</w:t>
      </w:r>
      <w:r>
        <w:t xml:space="preserve"> </w:t>
      </w:r>
      <w:r>
        <w:t xml:space="preserve">to deliver professional psychological and academic counseling services within the educational institutions of</w:t>
      </w:r>
      <w:r>
        <w:t xml:space="preserve"> </w:t>
      </w:r>
      <w:r>
        <w:t xml:space="preserve">Israel Jerusalem</w:t>
      </w:r>
      <w:r>
        <w:t xml:space="preserve">. This document outlines the scope of services, associated costs, payment schedules, and contractual terms governing the provision of</w:t>
      </w:r>
      <w:r>
        <w:t xml:space="preserve"> </w:t>
      </w:r>
      <w:r>
        <w:t xml:space="preserve">School Counselor</w:t>
      </w:r>
      <w:r>
        <w:t xml:space="preserve"> </w:t>
      </w:r>
      <w:r>
        <w:t xml:space="preserve">support in the Jerusalem district of Israel.</w:t>
      </w:r>
    </w:p>
    <w:bookmarkEnd w:id="21"/>
    <w:bookmarkStart w:id="22" w:name="Xbcfb4e872449f00b9ed51e3aeeac8088af3c0e8"/>
    <w:p>
      <w:pPr>
        <w:pStyle w:val="Heading2"/>
      </w:pPr>
      <w:r>
        <w:t xml:space="preserve">2. Scope of Services – School Counselor Engagement</w:t>
      </w:r>
    </w:p>
    <w:p>
      <w:pPr>
        <w:pStyle w:val="FirstParagraph"/>
      </w:pPr>
      <w:r>
        <w:t xml:space="preserve">The</w:t>
      </w:r>
      <w:r>
        <w:t xml:space="preserve"> </w:t>
      </w:r>
      <w:r>
        <w:t xml:space="preserve">School Counselor</w:t>
      </w:r>
      <w:r>
        <w:t xml:space="preserve"> </w:t>
      </w:r>
      <w:r>
        <w:t xml:space="preserve">engaged under this</w:t>
      </w:r>
      <w:r>
        <w:t xml:space="preserve"> </w:t>
      </w:r>
      <w:r>
        <w:t xml:space="preserve">Quotation Estimate</w:t>
      </w:r>
      <w:r>
        <w:t xml:space="preserve"> </w:t>
      </w:r>
      <w:r>
        <w:t xml:space="preserve">will provide the following professional services to students, faculty, and administrative staff at the client institution in</w:t>
      </w:r>
      <w:r>
        <w:t xml:space="preserve"> </w:t>
      </w:r>
      <w:r>
        <w:t xml:space="preserve">Israel Jerusalem</w:t>
      </w:r>
      <w:r>
        <w:t xml:space="preserve">:</w:t>
      </w:r>
    </w:p>
    <w:p>
      <w:pPr>
        <w:numPr>
          <w:ilvl w:val="0"/>
          <w:numId w:val="1001"/>
        </w:numPr>
        <w:pStyle w:val="Compact"/>
      </w:pPr>
      <w:r>
        <w:t xml:space="preserve">Individual and group psychological counseling sessions for students aged 6 through 18</w:t>
      </w:r>
    </w:p>
    <w:p>
      <w:pPr>
        <w:numPr>
          <w:ilvl w:val="0"/>
          <w:numId w:val="1001"/>
        </w:numPr>
        <w:pStyle w:val="Compact"/>
      </w:pPr>
      <w:r>
        <w:t xml:space="preserve">Academic performance assessment and personalized learning support plans</w:t>
      </w:r>
    </w:p>
    <w:p>
      <w:pPr>
        <w:numPr>
          <w:ilvl w:val="0"/>
          <w:numId w:val="1001"/>
        </w:numPr>
        <w:pStyle w:val="Compact"/>
      </w:pPr>
      <w:r>
        <w:t xml:space="preserve">Crisis intervention and trauma-informed care for students affected by regional events in</w:t>
      </w:r>
      <w:r>
        <w:t xml:space="preserve"> </w:t>
      </w:r>
      <w:r>
        <w:t xml:space="preserve">Israel Jerusalem</w:t>
      </w:r>
    </w:p>
    <w:p>
      <w:pPr>
        <w:numPr>
          <w:ilvl w:val="0"/>
          <w:numId w:val="1001"/>
        </w:numPr>
        <w:pStyle w:val="Compact"/>
      </w:pPr>
      <w:r>
        <w:t xml:space="preserve">Parent-teacher-student mediation and family support workshops</w:t>
      </w:r>
    </w:p>
    <w:p>
      <w:pPr>
        <w:numPr>
          <w:ilvl w:val="0"/>
          <w:numId w:val="1001"/>
        </w:numPr>
        <w:pStyle w:val="Compact"/>
      </w:pPr>
      <w:r>
        <w:t xml:space="preserve">Anti-bullying program design, implementation, and ongoing monitoring</w:t>
      </w:r>
    </w:p>
    <w:p>
      <w:pPr>
        <w:numPr>
          <w:ilvl w:val="0"/>
          <w:numId w:val="1001"/>
        </w:numPr>
        <w:pStyle w:val="Compact"/>
      </w:pPr>
      <w:r>
        <w:t xml:space="preserve">Special educational needs (SEN) coordination and liaison with the Ministry of Education, Israel</w:t>
      </w:r>
    </w:p>
    <w:p>
      <w:pPr>
        <w:numPr>
          <w:ilvl w:val="0"/>
          <w:numId w:val="1001"/>
        </w:numPr>
        <w:pStyle w:val="Compact"/>
      </w:pPr>
      <w:r>
        <w:t xml:space="preserve">Quarterly progress reports and annual comprehensive well-being assessments</w:t>
      </w:r>
    </w:p>
    <w:p>
      <w:pPr>
        <w:numPr>
          <w:ilvl w:val="0"/>
          <w:numId w:val="1001"/>
        </w:numPr>
        <w:pStyle w:val="Compact"/>
      </w:pPr>
      <w:r>
        <w:t xml:space="preserve">Professional development workshops for teaching staff on student mental health awareness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Cost (ILS)</w:t>
            </w:r>
          </w:p>
        </w:tc>
        <w:tc>
          <w:tcPr/>
          <w:p>
            <w:pPr>
              <w:pStyle w:val="Compact"/>
              <w:jc w:val="left"/>
            </w:pPr>
            <w:r>
              <w:t xml:space="preserve">Total (ILS)</w:t>
            </w:r>
          </w:p>
        </w:tc>
      </w:tr>
      <w:tr>
        <w:tc>
          <w:tcPr/>
          <w:p>
            <w:pPr>
              <w:pStyle w:val="Compact"/>
              <w:jc w:val="left"/>
            </w:pPr>
            <w:r>
              <w:t xml:space="preserve">1</w:t>
            </w:r>
          </w:p>
        </w:tc>
        <w:tc>
          <w:tcPr/>
          <w:p>
            <w:pPr>
              <w:pStyle w:val="Compact"/>
              <w:jc w:val="left"/>
            </w:pPr>
            <w:r>
              <w:t xml:space="preserve">School Counselor</w:t>
            </w:r>
            <w:r>
              <w:t xml:space="preserve"> </w:t>
            </w:r>
            <w:r>
              <w:t xml:space="preserve">– Full-time professional engagement (Licensed Clinical Psychologist, M.A. in School Counseling)</w:t>
            </w:r>
          </w:p>
        </w:tc>
        <w:tc>
          <w:tcPr/>
          <w:p>
            <w:pPr>
              <w:pStyle w:val="Compact"/>
              <w:jc w:val="left"/>
            </w:pPr>
            <w:r>
              <w:t xml:space="preserve">12 months (Aug 2025 – Jul 2026)</w:t>
            </w:r>
          </w:p>
        </w:tc>
        <w:tc>
          <w:tcPr/>
          <w:p>
            <w:pPr>
              <w:pStyle w:val="Compact"/>
              <w:jc w:val="left"/>
            </w:pPr>
            <w:r>
              <w:t xml:space="preserve">18,500 / month</w:t>
            </w:r>
          </w:p>
        </w:tc>
        <w:tc>
          <w:tcPr/>
          <w:p>
            <w:pPr>
              <w:pStyle w:val="Compact"/>
              <w:jc w:val="left"/>
            </w:pPr>
            <w:r>
              <w:t xml:space="preserve">222,000</w:t>
            </w:r>
          </w:p>
        </w:tc>
      </w:tr>
      <w:tr>
        <w:tc>
          <w:tcPr/>
          <w:p>
            <w:pPr>
              <w:pStyle w:val="Compact"/>
              <w:jc w:val="left"/>
            </w:pPr>
            <w:r>
              <w:t xml:space="preserve">2</w:t>
            </w:r>
          </w:p>
        </w:tc>
        <w:tc>
          <w:tcPr/>
          <w:p>
            <w:pPr>
              <w:pStyle w:val="Compact"/>
              <w:jc w:val="left"/>
            </w:pPr>
            <w:r>
              <w:t xml:space="preserve">Individual counseling sessions (up to 80 sessions per month)</w:t>
            </w:r>
          </w:p>
        </w:tc>
        <w:tc>
          <w:tcPr/>
          <w:p>
            <w:pPr>
              <w:pStyle w:val="Compact"/>
              <w:jc w:val="left"/>
            </w:pPr>
            <w:r>
              <w:t xml:space="preserve">12 months</w:t>
            </w:r>
          </w:p>
        </w:tc>
        <w:tc>
          <w:tcPr/>
          <w:p>
            <w:pPr>
              <w:pStyle w:val="Compact"/>
              <w:jc w:val="left"/>
            </w:pPr>
            <w:r>
              <w:t xml:space="preserve">350 / session</w:t>
            </w:r>
          </w:p>
        </w:tc>
        <w:tc>
          <w:tcPr/>
          <w:p>
            <w:pPr>
              <w:pStyle w:val="Compact"/>
              <w:jc w:val="left"/>
            </w:pPr>
            <w:r>
              <w:t xml:space="preserve">336,000</w:t>
            </w:r>
          </w:p>
        </w:tc>
      </w:tr>
      <w:tr>
        <w:tc>
          <w:tcPr/>
          <w:p>
            <w:pPr>
              <w:pStyle w:val="Compact"/>
              <w:jc w:val="left"/>
            </w:pPr>
            <w:r>
              <w:t xml:space="preserve">3</w:t>
            </w:r>
          </w:p>
        </w:tc>
        <w:tc>
          <w:tcPr/>
          <w:p>
            <w:pPr>
              <w:pStyle w:val="Compact"/>
              <w:jc w:val="left"/>
            </w:pPr>
            <w:r>
              <w:t xml:space="preserve">Group counseling and workshop facilitation (4 sessions per month)</w:t>
            </w:r>
          </w:p>
        </w:tc>
        <w:tc>
          <w:tcPr/>
          <w:p>
            <w:pPr>
              <w:pStyle w:val="Compact"/>
              <w:jc w:val="left"/>
            </w:pPr>
            <w:r>
              <w:t xml:space="preserve">12 months</w:t>
            </w:r>
          </w:p>
        </w:tc>
        <w:tc>
          <w:tcPr/>
          <w:p>
            <w:pPr>
              <w:pStyle w:val="Compact"/>
              <w:jc w:val="left"/>
            </w:pPr>
            <w:r>
              <w:t xml:space="preserve">1,200 / session</w:t>
            </w:r>
          </w:p>
        </w:tc>
        <w:tc>
          <w:tcPr/>
          <w:p>
            <w:pPr>
              <w:pStyle w:val="Compact"/>
              <w:jc w:val="left"/>
            </w:pPr>
            <w:r>
              <w:t xml:space="preserve">57,600</w:t>
            </w:r>
          </w:p>
        </w:tc>
      </w:tr>
      <w:tr>
        <w:tc>
          <w:tcPr/>
          <w:p>
            <w:pPr>
              <w:pStyle w:val="Compact"/>
              <w:jc w:val="left"/>
            </w:pPr>
            <w:r>
              <w:t xml:space="preserve">4</w:t>
            </w:r>
          </w:p>
        </w:tc>
        <w:tc>
          <w:tcPr/>
          <w:p>
            <w:pPr>
              <w:pStyle w:val="Compact"/>
              <w:jc w:val="left"/>
            </w:pPr>
            <w:r>
              <w:t xml:space="preserve">Crisis intervention and emergency response (on-call, 24/7 availability in</w:t>
            </w:r>
            <w:r>
              <w:t xml:space="preserve"> </w:t>
            </w:r>
            <w:r>
              <w:t xml:space="preserve">Israel Jerusalem</w:t>
            </w:r>
            <w:r>
              <w:t xml:space="preserve">)</w:t>
            </w:r>
          </w:p>
        </w:tc>
        <w:tc>
          <w:tcPr/>
          <w:p>
            <w:pPr>
              <w:pStyle w:val="Compact"/>
              <w:jc w:val="left"/>
            </w:pPr>
            <w:r>
              <w:t xml:space="preserve">12 months</w:t>
            </w:r>
          </w:p>
        </w:tc>
        <w:tc>
          <w:tcPr/>
          <w:p>
            <w:pPr>
              <w:pStyle w:val="Compact"/>
              <w:jc w:val="left"/>
            </w:pPr>
            <w:r>
              <w:t xml:space="preserve">2,500 / month</w:t>
            </w:r>
          </w:p>
        </w:tc>
        <w:tc>
          <w:tcPr/>
          <w:p>
            <w:pPr>
              <w:pStyle w:val="Compact"/>
              <w:jc w:val="left"/>
            </w:pPr>
            <w:r>
              <w:t xml:space="preserve">30,000</w:t>
            </w:r>
          </w:p>
        </w:tc>
      </w:tr>
      <w:tr>
        <w:tc>
          <w:tcPr/>
          <w:p>
            <w:pPr>
              <w:pStyle w:val="Compact"/>
              <w:jc w:val="left"/>
            </w:pPr>
            <w:r>
              <w:t xml:space="preserve">5</w:t>
            </w:r>
          </w:p>
        </w:tc>
        <w:tc>
          <w:tcPr/>
          <w:p>
            <w:pPr>
              <w:pStyle w:val="Compact"/>
              <w:jc w:val="left"/>
            </w:pPr>
            <w:r>
              <w:t xml:space="preserve">Parent and community outreach programs (2 events per month)</w:t>
            </w:r>
          </w:p>
        </w:tc>
        <w:tc>
          <w:tcPr/>
          <w:p>
            <w:pPr>
              <w:pStyle w:val="Compact"/>
              <w:jc w:val="left"/>
            </w:pPr>
            <w:r>
              <w:t xml:space="preserve">12 months</w:t>
            </w:r>
          </w:p>
        </w:tc>
        <w:tc>
          <w:tcPr/>
          <w:p>
            <w:pPr>
              <w:pStyle w:val="Compact"/>
              <w:jc w:val="left"/>
            </w:pPr>
            <w:r>
              <w:t xml:space="preserve">3,000 / event</w:t>
            </w:r>
          </w:p>
        </w:tc>
        <w:tc>
          <w:tcPr/>
          <w:p>
            <w:pPr>
              <w:pStyle w:val="Compact"/>
              <w:jc w:val="left"/>
            </w:pPr>
            <w:r>
              <w:t xml:space="preserve">72,000</w:t>
            </w:r>
          </w:p>
        </w:tc>
      </w:tr>
      <w:tr>
        <w:tc>
          <w:tcPr/>
          <w:p>
            <w:pPr>
              <w:pStyle w:val="Compact"/>
              <w:jc w:val="left"/>
            </w:pPr>
            <w:r>
              <w:t xml:space="preserve">6</w:t>
            </w:r>
          </w:p>
        </w:tc>
        <w:tc>
          <w:tcPr/>
          <w:p>
            <w:pPr>
              <w:pStyle w:val="Compact"/>
              <w:jc w:val="left"/>
            </w:pPr>
            <w:r>
              <w:t xml:space="preserve">Assessment tools, licensing, and professional software subscriptions</w:t>
            </w:r>
          </w:p>
        </w:tc>
        <w:tc>
          <w:tcPr/>
          <w:p>
            <w:pPr>
              <w:pStyle w:val="Compact"/>
              <w:jc w:val="left"/>
            </w:pPr>
            <w:r>
              <w:t xml:space="preserve">Annual</w:t>
            </w:r>
          </w:p>
        </w:tc>
        <w:tc>
          <w:tcPr/>
          <w:p>
            <w:pPr>
              <w:pStyle w:val="Compact"/>
              <w:jc w:val="left"/>
            </w:pPr>
            <w:r>
              <w:t xml:space="preserve">—</w:t>
            </w:r>
          </w:p>
        </w:tc>
        <w:tc>
          <w:tcPr/>
          <w:p>
            <w:pPr>
              <w:pStyle w:val="Compact"/>
              <w:jc w:val="left"/>
            </w:pPr>
            <w:r>
              <w:t xml:space="preserve">18,500</w:t>
            </w:r>
          </w:p>
        </w:tc>
      </w:tr>
      <w:tr>
        <w:tc>
          <w:tcPr/>
          <w:p>
            <w:pPr>
              <w:pStyle w:val="Compact"/>
              <w:jc w:val="left"/>
            </w:pPr>
            <w:r>
              <w:t xml:space="preserve">7</w:t>
            </w:r>
          </w:p>
        </w:tc>
        <w:tc>
          <w:tcPr/>
          <w:p>
            <w:pPr>
              <w:pStyle w:val="Compact"/>
              <w:jc w:val="left"/>
            </w:pPr>
            <w:r>
              <w:t xml:space="preserve">Administrative coordination, reporting, and Ministry of Education compliance documentation</w:t>
            </w:r>
          </w:p>
        </w:tc>
        <w:tc>
          <w:tcPr/>
          <w:p>
            <w:pPr>
              <w:pStyle w:val="Compact"/>
              <w:jc w:val="left"/>
            </w:pPr>
            <w:r>
              <w:t xml:space="preserve">12 months</w:t>
            </w:r>
          </w:p>
        </w:tc>
        <w:tc>
          <w:tcPr/>
          <w:p>
            <w:pPr>
              <w:pStyle w:val="Compact"/>
              <w:jc w:val="left"/>
            </w:pPr>
            <w:r>
              <w:t xml:space="preserve">1,500 / month</w:t>
            </w:r>
          </w:p>
        </w:tc>
        <w:tc>
          <w:tcPr/>
          <w:p>
            <w:pPr>
              <w:pStyle w:val="Compact"/>
              <w:jc w:val="left"/>
            </w:pPr>
            <w:r>
              <w:t xml:space="preserve">18,000</w:t>
            </w:r>
          </w:p>
        </w:tc>
      </w:tr>
      <w:tr>
        <w:tc>
          <w:tcPr/>
          <w:p>
            <w:pPr>
              <w:pStyle w:val="Compact"/>
              <w:jc w:val="left"/>
            </w:pPr>
            <w:r>
              <w:t xml:space="preserve">8</w:t>
            </w:r>
          </w:p>
        </w:tc>
        <w:tc>
          <w:tcPr/>
          <w:p>
            <w:pPr>
              <w:pStyle w:val="Compact"/>
              <w:jc w:val="left"/>
            </w:pPr>
            <w:r>
              <w:t xml:space="preserve">Professional liability insurance and malpractice coverage for the</w:t>
            </w:r>
            <w:r>
              <w:t xml:space="preserve"> </w:t>
            </w:r>
            <w:r>
              <w:t xml:space="preserve">School Counselor</w:t>
            </w:r>
          </w:p>
        </w:tc>
        <w:tc>
          <w:tcPr/>
          <w:p>
            <w:pPr>
              <w:pStyle w:val="Compact"/>
              <w:jc w:val="left"/>
            </w:pPr>
            <w:r>
              <w:t xml:space="preserve">Annual</w:t>
            </w:r>
          </w:p>
        </w:tc>
        <w:tc>
          <w:tcPr/>
          <w:p>
            <w:pPr>
              <w:pStyle w:val="Compact"/>
              <w:jc w:val="left"/>
            </w:pPr>
            <w:r>
              <w:t xml:space="preserve">—</w:t>
            </w:r>
          </w:p>
        </w:tc>
        <w:tc>
          <w:tcPr/>
          <w:p>
            <w:pPr>
              <w:pStyle w:val="Compact"/>
              <w:jc w:val="left"/>
            </w:pPr>
            <w:r>
              <w:t xml:space="preserve">12,000</w:t>
            </w:r>
          </w:p>
        </w:tc>
      </w:tr>
      <w:tr>
        <w:tc>
          <w:tcPr>
            <w:gridSpan w:val="4"/>
          </w:tcPr>
          <w:p>
            <w:pPr>
              <w:pStyle w:val="Compact"/>
              <w:jc w:val="left"/>
            </w:pPr>
            <w:r>
              <w:rPr>
                <w:bCs/>
                <w:b/>
              </w:rPr>
              <w:t xml:space="preserve">GRAND TOTAL (VAT 18% included)</w:t>
            </w:r>
          </w:p>
        </w:tc>
        <w:tc>
          <w:tcPr/>
          <w:p>
            <w:pPr>
              <w:pStyle w:val="Compact"/>
              <w:jc w:val="left"/>
            </w:pPr>
            <w:r>
              <w:rPr>
                <w:bCs/>
                <w:b/>
              </w:rPr>
              <w:t xml:space="preserve">866,100 ILS</w:t>
            </w:r>
          </w:p>
        </w:tc>
      </w:tr>
    </w:tbl>
    <w:p>
      <w:pPr>
        <w:pStyle w:val="BodyText"/>
      </w:pPr>
      <w:r>
        <w:rPr>
          <w:bCs/>
          <w:b/>
        </w:rPr>
        <w:t xml:space="preserve">Note:</w:t>
      </w:r>
      <w:r>
        <w:t xml:space="preserve"> </w:t>
      </w:r>
      <w:r>
        <w:t xml:space="preserve">All prices in this</w:t>
      </w:r>
      <w:r>
        <w:t xml:space="preserve"> </w:t>
      </w:r>
      <w:r>
        <w:t xml:space="preserve">Quotation Estimate</w:t>
      </w:r>
      <w:r>
        <w:t xml:space="preserve"> </w:t>
      </w:r>
      <w:r>
        <w:t xml:space="preserve">are denominated in Israeli New Shekels (ILS) and include 18% Value Added Tax (VAT) as mandated by the Israel Tax Authority. The</w:t>
      </w:r>
      <w:r>
        <w:t xml:space="preserve"> </w:t>
      </w:r>
      <w:r>
        <w:t xml:space="preserve">School Counselor</w:t>
      </w:r>
      <w:r>
        <w:t xml:space="preserve"> </w:t>
      </w:r>
      <w:r>
        <w:t xml:space="preserve">fee is subject to annual adjustment based on the Consumer Price Index (CPI) published by the Central Bureau of Statistics, Israel.</w:t>
      </w:r>
    </w:p>
    <w:bookmarkEnd w:id="23"/>
    <w:bookmarkStart w:id="24" w:name="payment-terms-and-schedule"/>
    <w:p>
      <w:pPr>
        <w:pStyle w:val="Heading2"/>
      </w:pPr>
      <w:r>
        <w:t xml:space="preserve">4. Payment Terms and Schedule</w:t>
      </w:r>
    </w:p>
    <w:p>
      <w:pPr>
        <w:pStyle w:val="FirstParagraph"/>
      </w:pPr>
      <w:r>
        <w:t xml:space="preserve">Payment for the services outlined in this</w:t>
      </w:r>
      <w:r>
        <w:t xml:space="preserve"> </w:t>
      </w:r>
      <w:r>
        <w:t xml:space="preserve">Quotation Estimate</w:t>
      </w:r>
      <w:r>
        <w:t xml:space="preserve"> </w:t>
      </w:r>
      <w:r>
        <w:t xml:space="preserve">shall be made via bank transfer to the account of Jerusalem Educational Support Services Ltd. The payment schedule is structured as follows:</w:t>
      </w:r>
    </w:p>
    <w:p>
      <w:pPr>
        <w:numPr>
          <w:ilvl w:val="0"/>
          <w:numId w:val="1002"/>
        </w:numPr>
        <w:pStyle w:val="Compact"/>
      </w:pPr>
      <w:r>
        <w:rPr>
          <w:bCs/>
          <w:b/>
        </w:rPr>
        <w:t xml:space="preserve">Initial deposit:</w:t>
      </w:r>
      <w:r>
        <w:t xml:space="preserve"> </w:t>
      </w:r>
      <w:r>
        <w:t xml:space="preserve">25% of the total amount (216,525 ILS) due within 14 business days of contract signing.</w:t>
      </w:r>
    </w:p>
    <w:p>
      <w:pPr>
        <w:numPr>
          <w:ilvl w:val="0"/>
          <w:numId w:val="1002"/>
        </w:numPr>
        <w:pStyle w:val="Compact"/>
      </w:pPr>
      <w:r>
        <w:rPr>
          <w:bCs/>
          <w:b/>
        </w:rPr>
        <w:t xml:space="preserve">Quarterly installments:</w:t>
      </w:r>
      <w:r>
        <w:t xml:space="preserve"> </w:t>
      </w:r>
      <w:r>
        <w:t xml:space="preserve">25% of the remaining balance due at the end of each fiscal quarter (Q1: Nov 2025, Q2: Feb 2026, Q3: May 2026).</w:t>
      </w:r>
    </w:p>
    <w:p>
      <w:pPr>
        <w:numPr>
          <w:ilvl w:val="0"/>
          <w:numId w:val="1002"/>
        </w:numPr>
        <w:pStyle w:val="Compact"/>
      </w:pPr>
      <w:r>
        <w:rPr>
          <w:bCs/>
          <w:b/>
        </w:rPr>
        <w:t xml:space="preserve">Final payment:</w:t>
      </w:r>
      <w:r>
        <w:t xml:space="preserve"> </w:t>
      </w:r>
      <w:r>
        <w:t xml:space="preserve">Remaining balance due by 30 July 2026, contingent upon satisfactory completion of all deliverables.</w:t>
      </w:r>
    </w:p>
    <w:p>
      <w:pPr>
        <w:pStyle w:val="FirstParagraph"/>
      </w:pPr>
      <w:r>
        <w:t xml:space="preserve">Late payments shall incur a penalty of 1.5% per month, in accordance with the Israeli Late Payment Law (5761-2001). All invoices must be settled within 30 days of receipt.</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30 calendar days from the date of issue. Beyond this period, all rates and availability of the</w:t>
      </w:r>
      <w:r>
        <w:t xml:space="preserve"> </w:t>
      </w:r>
      <w:r>
        <w:t xml:space="preserve">School Counselor</w:t>
      </w:r>
      <w:r>
        <w:t xml:space="preserve"> </w:t>
      </w:r>
      <w:r>
        <w:t xml:space="preserve">are subject to revision.</w:t>
      </w:r>
    </w:p>
    <w:p>
      <w:pPr>
        <w:numPr>
          <w:ilvl w:val="0"/>
          <w:numId w:val="1003"/>
        </w:numPr>
        <w:pStyle w:val="Compact"/>
      </w:pPr>
      <w:r>
        <w:t xml:space="preserve">The</w:t>
      </w:r>
      <w:r>
        <w:t xml:space="preserve"> </w:t>
      </w:r>
      <w:r>
        <w:t xml:space="preserve">School Counselor</w:t>
      </w:r>
      <w:r>
        <w:t xml:space="preserve"> </w:t>
      </w:r>
      <w:r>
        <w:t xml:space="preserve">shall be a licensed professional registered with the Israel Psychologists Association and the Ministry of Education, Israel, holding a valid professional license for practice in the Jerusalem district.</w:t>
      </w:r>
    </w:p>
    <w:p>
      <w:pPr>
        <w:numPr>
          <w:ilvl w:val="0"/>
          <w:numId w:val="1003"/>
        </w:numPr>
        <w:pStyle w:val="Compact"/>
      </w:pPr>
      <w:r>
        <w:t xml:space="preserve">All counseling services shall be conducted in accordance with the ethical guidelines of the Israel Psychologists Association and the data protection requirements of the Israeli Privacy Protection Law (5741-1981).</w:t>
      </w:r>
    </w:p>
    <w:p>
      <w:pPr>
        <w:numPr>
          <w:ilvl w:val="0"/>
          <w:numId w:val="1003"/>
        </w:numPr>
        <w:pStyle w:val="Compact"/>
      </w:pPr>
      <w:r>
        <w:t xml:space="preserve">Confidentiality of all student records, session notes, and personal data is strictly maintained. No information shall be disclosed without written parental or legal guardian consent, except in cases of imminent danger as defined by Israeli law.</w:t>
      </w:r>
    </w:p>
    <w:p>
      <w:pPr>
        <w:numPr>
          <w:ilvl w:val="0"/>
          <w:numId w:val="1003"/>
        </w:numPr>
        <w:pStyle w:val="Compact"/>
      </w:pPr>
      <w:r>
        <w:t xml:space="preserve">The client institution in</w:t>
      </w:r>
      <w:r>
        <w:t xml:space="preserve"> </w:t>
      </w:r>
      <w:r>
        <w:t xml:space="preserve">Israel Jerusalem</w:t>
      </w:r>
      <w:r>
        <w:t xml:space="preserve"> </w:t>
      </w:r>
      <w:r>
        <w:t xml:space="preserve">shall provide a dedicated, private office space for the</w:t>
      </w:r>
      <w:r>
        <w:t xml:space="preserve"> </w:t>
      </w:r>
      <w:r>
        <w:t xml:space="preserve">School Counselor</w:t>
      </w:r>
      <w:r>
        <w:t xml:space="preserve">, including access to counseling materials, a secure filing system, and internet connectivity.</w:t>
      </w:r>
    </w:p>
    <w:p>
      <w:pPr>
        <w:numPr>
          <w:ilvl w:val="0"/>
          <w:numId w:val="1003"/>
        </w:numPr>
        <w:pStyle w:val="Compact"/>
      </w:pPr>
      <w:r>
        <w:t xml:space="preserve">Either party may terminate this agreement with 60 days' written notice. In the event of early termination, the client shall be liable for all services rendered up to the termination date plus a 10% administrative fee.</w:t>
      </w:r>
    </w:p>
    <w:p>
      <w:pPr>
        <w:numPr>
          <w:ilvl w:val="0"/>
          <w:numId w:val="1003"/>
        </w:numPr>
        <w:pStyle w:val="Compact"/>
      </w:pPr>
      <w:r>
        <w:t xml:space="preserve">This</w:t>
      </w:r>
      <w:r>
        <w:t xml:space="preserve"> </w:t>
      </w:r>
      <w:r>
        <w:t xml:space="preserve">Quotation Estimate</w:t>
      </w:r>
      <w:r>
        <w:t xml:space="preserve"> </w:t>
      </w:r>
      <w:r>
        <w:t xml:space="preserve">does not constitute a binding contract until both parties have executed the formal service agreement in writing.</w:t>
      </w:r>
    </w:p>
    <w:p>
      <w:pPr>
        <w:numPr>
          <w:ilvl w:val="0"/>
          <w:numId w:val="1003"/>
        </w:numPr>
        <w:pStyle w:val="Compact"/>
      </w:pPr>
      <w:r>
        <w:t xml:space="preserve">All disputes arising from this engagement shall be resolved through mediation in Jerusalem, Israel, in accordance with the Israeli Arbitration Law (5728-1968).</w:t>
      </w:r>
    </w:p>
    <w:p>
      <w:pPr>
        <w:numPr>
          <w:ilvl w:val="0"/>
          <w:numId w:val="1003"/>
        </w:numPr>
        <w:pStyle w:val="Compact"/>
      </w:pPr>
      <w:r>
        <w:t xml:space="preserve">The</w:t>
      </w:r>
      <w:r>
        <w:t xml:space="preserve"> </w:t>
      </w:r>
      <w:r>
        <w:t xml:space="preserve">School Counselor</w:t>
      </w:r>
      <w:r>
        <w:t xml:space="preserve"> </w:t>
      </w:r>
      <w:r>
        <w:t xml:space="preserve">shall comply with all applicable regulations of the Ministry of Education, Israel, and the local Jerusalem municipality regarding student welfare and educational support services.</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agreed to the terms set forth in this</w:t>
      </w:r>
      <w:r>
        <w:t xml:space="preserve"> </w:t>
      </w:r>
      <w:r>
        <w:t xml:space="preserve">Quotation Estimate</w:t>
      </w:r>
      <w:r>
        <w:t xml:space="preserve"> </w:t>
      </w:r>
      <w:r>
        <w:t xml:space="preserve">for the provision of</w:t>
      </w:r>
      <w:r>
        <w:t xml:space="preserve"> </w:t>
      </w:r>
      <w:r>
        <w:t xml:space="preserve">School Counselor</w:t>
      </w:r>
      <w:r>
        <w:t xml:space="preserve"> </w:t>
      </w:r>
      <w:r>
        <w:t xml:space="preserve">services in</w:t>
      </w:r>
      <w:r>
        <w:t xml:space="preserve"> </w:t>
      </w:r>
      <w:r>
        <w:t xml:space="preserve">Israel Jerusalem</w:t>
      </w:r>
      <w:r>
        <w:t xml:space="preserve">.</w:t>
      </w:r>
    </w:p>
    <w:p>
      <w:pPr>
        <w:pStyle w:val="BodyText"/>
      </w:pPr>
      <w:r>
        <w:rPr>
          <w:bCs/>
          <w:b/>
        </w:rPr>
        <w:t xml:space="preserve">For: Jerusalem Educational Support Services Ltd.</w:t>
      </w:r>
      <w:r>
        <w:br/>
      </w:r>
      <w:r>
        <w:t xml:space="preserve">Name: _________________________</w:t>
      </w:r>
      <w:r>
        <w:br/>
      </w:r>
      <w:r>
        <w:t xml:space="preserve">Title: Director of Services</w:t>
      </w:r>
      <w:r>
        <w:br/>
      </w:r>
      <w:r>
        <w:t xml:space="preserve">Date: _________________________</w:t>
      </w:r>
    </w:p>
    <w:p>
      <w:pPr>
        <w:pStyle w:val="BodyText"/>
      </w:pPr>
      <w:r>
        <w:rPr>
          <w:bCs/>
          <w:b/>
        </w:rPr>
        <w:t xml:space="preserve">For: Yeshiva HaTikva School, Jerusalem</w:t>
      </w:r>
      <w:r>
        <w:br/>
      </w:r>
      <w:r>
        <w:t xml:space="preserve">Name: _________________________</w:t>
      </w:r>
      <w:r>
        <w:br/>
      </w:r>
      <w:r>
        <w:t xml:space="preserve">Title: Principal</w:t>
      </w:r>
      <w:r>
        <w:br/>
      </w:r>
      <w:r>
        <w:t xml:space="preserve">Date: _________________________</w:t>
      </w:r>
    </w:p>
    <w:p>
      <w:pPr>
        <w:pStyle w:val="BodyText"/>
      </w:pPr>
      <w:r>
        <w:rPr>
          <w:bCs/>
          <w:b/>
        </w:rPr>
        <w:t xml:space="preserve">Quotation Estimate No. QE-JER-2025-0347</w:t>
      </w:r>
      <w:r>
        <w:t xml:space="preserve"> </w:t>
      </w:r>
      <w:r>
        <w:t xml:space="preserve">| Jerusalem Educational Support Services Ltd. | 12 King George Street, Jerusalem, Israel 97100</w:t>
      </w:r>
    </w:p>
    <w:p>
      <w:pPr>
        <w:pStyle w:val="BodyText"/>
      </w:pPr>
      <w:r>
        <w:t xml:space="preserve">This document is generated electronically and is valid without a physical stamp. For inquiries regarding this</w:t>
      </w:r>
      <w:r>
        <w:t xml:space="preserve"> </w:t>
      </w:r>
      <w:r>
        <w:t xml:space="preserve">Quotation Estimate</w:t>
      </w:r>
      <w:r>
        <w:t xml:space="preserve"> </w:t>
      </w:r>
      <w:r>
        <w:t xml:space="preserve">or the</w:t>
      </w:r>
      <w:r>
        <w:t xml:space="preserve"> </w:t>
      </w:r>
      <w:r>
        <w:t xml:space="preserve">School Counselor</w:t>
      </w:r>
      <w:r>
        <w:t xml:space="preserve"> </w:t>
      </w:r>
      <w:r>
        <w:t xml:space="preserve">engagement in</w:t>
      </w:r>
      <w:r>
        <w:t xml:space="preserve"> </w:t>
      </w:r>
      <w:r>
        <w:t xml:space="preserve">Israel Jerusalem</w:t>
      </w:r>
      <w:r>
        <w:t xml:space="preserve">, please contact our office at +972-2-623-4567.</w:t>
      </w:r>
    </w:p>
    <w:p>
      <w:pPr>
        <w:pStyle w:val="BodyText"/>
      </w:pPr>
      <w:r>
        <w:t xml:space="preserve">© 2025 Jerusalem Educational Support Services Ltd.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School Counselor Services - Israel Jerusalem</dc:title>
  <dc:creator/>
  <dc:language>en</dc:language>
  <cp:keywords/>
  <dcterms:created xsi:type="dcterms:W3CDTF">2026-10-10T09:11:57Z</dcterms:created>
  <dcterms:modified xsi:type="dcterms:W3CDTF">2026-10-10T09:11:57Z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