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Professional School Counselor Services</w:t>
      </w:r>
    </w:p>
    <w:p>
      <w:pPr>
        <w:pStyle w:val="BodyText"/>
      </w:pPr>
      <w:r>
        <w:t xml:space="preserve">Prepared for Educational Institutions in</w:t>
      </w:r>
      <w:r>
        <w:t xml:space="preserve"> </w:t>
      </w:r>
      <w:r>
        <w:rPr>
          <w:bCs/>
          <w:b/>
        </w:rPr>
        <w:t xml:space="preserve">Russia Moscow</w:t>
      </w:r>
    </w:p>
    <w:p>
      <w:pPr>
        <w:pStyle w:val="BodyText"/>
      </w:pPr>
      <w:r>
        <w:t xml:space="preserve">Quotation No: QTE-2025-MSC-0472  |  Date: 15 June 2025  |  Valid Until: 15 September 2025</w:t>
      </w:r>
    </w:p>
    <w:bookmarkEnd w:id="20"/>
    <w:bookmarkStart w:id="21" w:name="issuing-organization"/>
    <w:p>
      <w:pPr>
        <w:pStyle w:val="Heading2"/>
      </w:pPr>
      <w:r>
        <w:t xml:space="preserve">1. Issuing Organization</w:t>
      </w:r>
    </w:p>
    <w:p>
      <w:pPr>
        <w:pStyle w:val="FirstParagraph"/>
      </w:pPr>
      <w:r>
        <w:rPr>
          <w:bCs/>
          <w:b/>
        </w:rPr>
        <w:t xml:space="preserve">Company:</w:t>
      </w:r>
      <w:r>
        <w:t xml:space="preserve"> </w:t>
      </w:r>
      <w:r>
        <w:t xml:space="preserve">EduCare Professional Services LLC</w:t>
      </w:r>
    </w:p>
    <w:p>
      <w:pPr>
        <w:pStyle w:val="BodyText"/>
      </w:pPr>
      <w:r>
        <w:rPr>
          <w:bCs/>
          <w:b/>
        </w:rPr>
        <w:t xml:space="preserve">Address:</w:t>
      </w:r>
      <w:r>
        <w:t xml:space="preserve"> </w:t>
      </w:r>
      <w:r>
        <w:t xml:space="preserve">42 Tverskaya Street, Building 3, Moscow, 125009, Russia</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quotations@educare-msk.ru</w:t>
      </w:r>
    </w:p>
    <w:p>
      <w:pPr>
        <w:pStyle w:val="BodyText"/>
      </w:pPr>
      <w:r>
        <w:rPr>
          <w:bCs/>
          <w:b/>
        </w:rPr>
        <w:t xml:space="preserve">Tax ID (INN):</w:t>
      </w:r>
      <w:r>
        <w:t xml:space="preserve"> </w:t>
      </w:r>
      <w:r>
        <w:t xml:space="preserve">7710456789</w:t>
      </w:r>
    </w:p>
    <w:p>
      <w:pPr>
        <w:pStyle w:val="BodyText"/>
      </w:pPr>
      <w:r>
        <w:rPr>
          <w:bCs/>
          <w:b/>
        </w:rPr>
        <w:t xml:space="preserve">Prepared By:</w:t>
      </w:r>
      <w:r>
        <w:t xml:space="preserve"> </w:t>
      </w:r>
      <w:r>
        <w:t xml:space="preserve">Anna V. Petrova, Senior Account Manager</w:t>
      </w:r>
    </w:p>
    <w:p>
      <w:pPr>
        <w:pStyle w:val="BodyText"/>
      </w:pPr>
      <w:r>
        <w:rPr>
          <w:bCs/>
          <w:b/>
        </w:rPr>
        <w:t xml:space="preserve">Department:</w:t>
      </w:r>
      <w:r>
        <w:t xml:space="preserve"> </w:t>
      </w:r>
      <w:r>
        <w:t xml:space="preserve">Educational Services Division</w:t>
      </w:r>
    </w:p>
    <w:p>
      <w:pPr>
        <w:pStyle w:val="BodyText"/>
      </w:pPr>
      <w:r>
        <w:rPr>
          <w:bCs/>
          <w:b/>
        </w:rPr>
        <w:t xml:space="preserve">Reference Code:</w:t>
      </w:r>
      <w:r>
        <w:t xml:space="preserve"> </w:t>
      </w:r>
      <w:r>
        <w:t xml:space="preserve">SC-RUS-MOS-2025</w:t>
      </w:r>
    </w:p>
    <w:p>
      <w:pPr>
        <w:pStyle w:val="BodyText"/>
      </w:pPr>
      <w:r>
        <w:rPr>
          <w:bCs/>
          <w:b/>
        </w:rPr>
        <w:t xml:space="preserve">Currency:</w:t>
      </w:r>
      <w:r>
        <w:t xml:space="preserve"> </w:t>
      </w:r>
      <w:r>
        <w:t xml:space="preserve">Russian Ruble (RUB)</w:t>
      </w:r>
    </w:p>
    <w:p>
      <w:pPr>
        <w:pStyle w:val="BodyText"/>
      </w:pPr>
      <w:r>
        <w:rPr>
          <w:bCs/>
          <w:b/>
        </w:rPr>
        <w:t xml:space="preserve">Language of Service:</w:t>
      </w:r>
      <w:r>
        <w:t xml:space="preserve"> </w:t>
      </w:r>
      <w:r>
        <w:t xml:space="preserve">Russian / English</w:t>
      </w:r>
    </w:p>
    <w:bookmarkEnd w:id="21"/>
    <w:bookmarkStart w:id="22" w:name="client-information"/>
    <w:p>
      <w:pPr>
        <w:pStyle w:val="Heading2"/>
      </w:pPr>
      <w:r>
        <w:t xml:space="preserve">2. Client Information</w:t>
      </w:r>
    </w:p>
    <w:p>
      <w:pPr>
        <w:pStyle w:val="FirstParagraph"/>
      </w:pPr>
      <w:r>
        <w:rPr>
          <w:bCs/>
          <w:b/>
        </w:rPr>
        <w:t xml:space="preserve">Institution:</w:t>
      </w:r>
      <w:r>
        <w:t xml:space="preserve"> </w:t>
      </w:r>
      <w:r>
        <w:t xml:space="preserve">[Name of School / Educational Center]</w:t>
      </w:r>
    </w:p>
    <w:p>
      <w:pPr>
        <w:pStyle w:val="BodyText"/>
      </w:pPr>
      <w:r>
        <w:rPr>
          <w:bCs/>
          <w:b/>
        </w:rPr>
        <w:t xml:space="preserve">Address:</w:t>
      </w:r>
      <w:r>
        <w:t xml:space="preserve"> </w:t>
      </w:r>
      <w:r>
        <w:t xml:space="preserve">[Street, District], Moscow, Russia</w:t>
      </w:r>
    </w:p>
    <w:p>
      <w:pPr>
        <w:pStyle w:val="BodyText"/>
      </w:pPr>
      <w:r>
        <w:rPr>
          <w:bCs/>
          <w:b/>
        </w:rPr>
        <w:t xml:space="preserve">Contact Person:</w:t>
      </w:r>
      <w:r>
        <w:t xml:space="preserve"> </w:t>
      </w:r>
      <w:r>
        <w:t xml:space="preserve">[Name, Position]</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[Institution Email]</w:t>
      </w:r>
    </w:p>
    <w:p>
      <w:pPr>
        <w:pStyle w:val="BodyText"/>
      </w:pPr>
      <w:r>
        <w:rPr>
          <w:bCs/>
          <w:b/>
        </w:rPr>
        <w:t xml:space="preserve">Number of Students:</w:t>
      </w:r>
      <w:r>
        <w:t xml:space="preserve"> </w:t>
      </w:r>
      <w:r>
        <w:t xml:space="preserve">[Approximate Enrollment]</w:t>
      </w:r>
    </w:p>
    <w:p>
      <w:pPr>
        <w:pStyle w:val="BodyText"/>
      </w:pPr>
      <w:r>
        <w:rPr>
          <w:bCs/>
          <w:b/>
        </w:rPr>
        <w:t xml:space="preserve">Academic Year:</w:t>
      </w:r>
      <w:r>
        <w:t xml:space="preserve"> </w:t>
      </w:r>
      <w:r>
        <w:t xml:space="preserve">2025/2026</w:t>
      </w:r>
    </w:p>
    <w:p>
      <w:pPr>
        <w:pStyle w:val="BodyText"/>
      </w:pPr>
      <w:r>
        <w:rPr>
          <w:bCs/>
          <w:b/>
        </w:rPr>
        <w:t xml:space="preserve">Service Period:</w:t>
      </w:r>
      <w:r>
        <w:t xml:space="preserve"> </w:t>
      </w:r>
      <w:r>
        <w:t xml:space="preserve">September 2025 – June 2026</w:t>
      </w:r>
    </w:p>
    <w:bookmarkEnd w:id="22"/>
    <w:bookmarkStart w:id="23" w:name="Xf29a76263218eb5919e0fce5ca8ed621d852bd7"/>
    <w:p>
      <w:pPr>
        <w:pStyle w:val="Heading2"/>
      </w:pPr>
      <w:r>
        <w:t xml:space="preserve">3. Scope of Services – School Counselor Program</w:t>
      </w:r>
    </w:p>
    <w:p>
      <w:pPr>
        <w:pStyle w:val="FirstParagraph"/>
      </w:pPr>
      <w:r>
        <w:t xml:space="preserve">This</w:t>
      </w:r>
      <w:r>
        <w:t xml:space="preserve"> </w:t>
      </w:r>
      <w:r>
        <w:rPr>
          <w:bCs/>
          <w:b/>
        </w:rPr>
        <w:t xml:space="preserve">Quotation Estimate</w:t>
      </w:r>
      <w:r>
        <w:t xml:space="preserve"> </w:t>
      </w:r>
      <w:r>
        <w:t xml:space="preserve">outlines the comprehensive professional services to be provided by a certified</w:t>
      </w:r>
      <w:r>
        <w:t xml:space="preserve"> </w:t>
      </w:r>
      <w:r>
        <w:rPr>
          <w:bCs/>
          <w:b/>
        </w:rPr>
        <w:t xml:space="preserve">School Counselor</w:t>
      </w:r>
      <w:r>
        <w:t xml:space="preserve"> </w:t>
      </w:r>
      <w:r>
        <w:t xml:space="preserve">engaged to support the academic, emotional, and social development of students within the</w:t>
      </w:r>
      <w:r>
        <w:t xml:space="preserve"> </w:t>
      </w:r>
      <w:r>
        <w:rPr>
          <w:bCs/>
          <w:b/>
        </w:rPr>
        <w:t xml:space="preserve">Russia Moscow</w:t>
      </w:r>
      <w:r>
        <w:t xml:space="preserve"> </w:t>
      </w:r>
      <w:r>
        <w:t xml:space="preserve">educational framework. The School Counselor will operate in full compliance with the Federal Law of the Russian Federation on Education (No. 273-FZ) and all applicable municipal regulations governing student welfare in Moscow.</w:t>
      </w:r>
    </w:p>
    <w:p>
      <w:pPr>
        <w:pStyle w:val="BodyText"/>
      </w:pPr>
      <w:r>
        <w:t xml:space="preserve">The School Counselor engagement includes the following core service areas:</w:t>
      </w:r>
    </w:p>
    <w:p>
      <w:pPr>
        <w:numPr>
          <w:ilvl w:val="0"/>
          <w:numId w:val="1001"/>
        </w:numPr>
        <w:pStyle w:val="Compact"/>
      </w:pPr>
      <w:r>
        <w:rPr>
          <w:bCs/>
          <w:b/>
        </w:rPr>
        <w:t xml:space="preserve">Individual Student Counseling:</w:t>
      </w:r>
      <w:r>
        <w:t xml:space="preserve"> </w:t>
      </w:r>
      <w:r>
        <w:t xml:space="preserve">One-on-one sessions addressing academic difficulties, behavioral concerns, family issues, and personal development challenges. Minimum 120 individual sessions per academic year.</w:t>
      </w:r>
    </w:p>
    <w:p>
      <w:pPr>
        <w:numPr>
          <w:ilvl w:val="0"/>
          <w:numId w:val="1001"/>
        </w:numPr>
        <w:pStyle w:val="Compact"/>
      </w:pPr>
      <w:r>
        <w:rPr>
          <w:bCs/>
          <w:b/>
        </w:rPr>
        <w:t xml:space="preserve">Group Counseling and Workshops:</w:t>
      </w:r>
      <w:r>
        <w:t xml:space="preserve"> </w:t>
      </w:r>
      <w:r>
        <w:t xml:space="preserve">Facilitation of monthly group sessions focused on conflict resolution, stress management, peer relationships, and career guidance. Minimum 24 group workshops per year.</w:t>
      </w:r>
    </w:p>
    <w:p>
      <w:pPr>
        <w:numPr>
          <w:ilvl w:val="0"/>
          <w:numId w:val="1001"/>
        </w:numPr>
        <w:pStyle w:val="Compact"/>
      </w:pPr>
      <w:r>
        <w:rPr>
          <w:bCs/>
          <w:b/>
        </w:rPr>
        <w:t xml:space="preserve">Academic Guidance and Career Planning:</w:t>
      </w:r>
      <w:r>
        <w:t xml:space="preserve"> </w:t>
      </w:r>
      <w:r>
        <w:t xml:space="preserve">Assistance with university admissions preparation, career exploration, and educational pathway planning for students in grades 9 through 11.</w:t>
      </w:r>
    </w:p>
    <w:p>
      <w:pPr>
        <w:numPr>
          <w:ilvl w:val="0"/>
          <w:numId w:val="1001"/>
        </w:numPr>
        <w:pStyle w:val="Compact"/>
      </w:pPr>
      <w:r>
        <w:rPr>
          <w:bCs/>
          <w:b/>
        </w:rPr>
        <w:t xml:space="preserve">Crisis Intervention:</w:t>
      </w:r>
      <w:r>
        <w:t xml:space="preserve"> </w:t>
      </w:r>
      <w:r>
        <w:t xml:space="preserve">Immediate response protocols for student emergencies, including bullying incidents, mental health crises, and family disruptions. 24/7 on-call availability during school hours.</w:t>
      </w:r>
    </w:p>
    <w:p>
      <w:pPr>
        <w:numPr>
          <w:ilvl w:val="0"/>
          <w:numId w:val="1001"/>
        </w:numPr>
        <w:pStyle w:val="Compact"/>
      </w:pPr>
      <w:r>
        <w:rPr>
          <w:bCs/>
          <w:b/>
        </w:rPr>
        <w:t xml:space="preserve">Parent and Teacher Consultation:</w:t>
      </w:r>
      <w:r>
        <w:t xml:space="preserve"> </w:t>
      </w:r>
      <w:r>
        <w:t xml:space="preserve">Bi-weekly consultation hours for parents and monthly professional development workshops for teaching staff on student well-being strategies.</w:t>
      </w:r>
    </w:p>
    <w:p>
      <w:pPr>
        <w:numPr>
          <w:ilvl w:val="0"/>
          <w:numId w:val="1001"/>
        </w:numPr>
        <w:pStyle w:val="Compact"/>
      </w:pPr>
      <w:r>
        <w:rPr>
          <w:bCs/>
          <w:b/>
        </w:rPr>
        <w:t xml:space="preserve">Documentation and Reporting:</w:t>
      </w:r>
      <w:r>
        <w:t xml:space="preserve"> </w:t>
      </w:r>
      <w:r>
        <w:t xml:space="preserve">Monthly progress reports, confidential student case files, and an annual comprehensive report on the School Counselor program outcomes.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(RUB)</w:t>
            </w:r>
          </w:p>
        </w:tc>
        <w:tc>
          <w:tcPr/>
          <w:p>
            <w:pPr>
              <w:pStyle w:val="Compact"/>
              <w:jc w:val="left"/>
            </w:pPr>
            <w:r>
              <w:t xml:space="preserve">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School Counselor Salary (Full-time, 40 hrs/week)</w:t>
            </w:r>
          </w:p>
        </w:tc>
        <w:tc>
          <w:tcPr/>
          <w:p>
            <w:pPr>
              <w:pStyle w:val="Compact"/>
              <w:jc w:val="left"/>
            </w:pPr>
            <w:r>
              <w:t xml:space="preserve">10 months</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Includes social contributions</w:t>
            </w:r>
          </w:p>
        </w:tc>
      </w:tr>
      <w:tr>
        <w:tc>
          <w:tcPr/>
          <w:p>
            <w:pPr>
              <w:pStyle w:val="Compact"/>
              <w:jc w:val="left"/>
            </w:pPr>
            <w:r>
              <w:t xml:space="preserve">2</w:t>
            </w:r>
          </w:p>
        </w:tc>
        <w:tc>
          <w:tcPr/>
          <w:p>
            <w:pPr>
              <w:pStyle w:val="Compact"/>
              <w:jc w:val="left"/>
            </w:pPr>
            <w:r>
              <w:t xml:space="preserve">Individual Counseling Sessions (beyond standard hours)</w:t>
            </w:r>
          </w:p>
        </w:tc>
        <w:tc>
          <w:tcPr/>
          <w:p>
            <w:pPr>
              <w:pStyle w:val="Compact"/>
              <w:jc w:val="left"/>
            </w:pPr>
            <w:r>
              <w:t xml:space="preserve">120 sessions</w:t>
            </w:r>
          </w:p>
        </w:tc>
        <w:tc>
          <w:tcPr/>
          <w:p>
            <w:pPr>
              <w:pStyle w:val="Compact"/>
              <w:jc w:val="left"/>
            </w:pPr>
            <w:r>
              <w:t xml:space="preserve">2,500</w:t>
            </w:r>
          </w:p>
        </w:tc>
        <w:tc>
          <w:tcPr/>
          <w:p>
            <w:pPr>
              <w:pStyle w:val="Compact"/>
              <w:jc w:val="left"/>
            </w:pPr>
            <w:r>
              <w:t xml:space="preserve">300,000</w:t>
            </w:r>
          </w:p>
        </w:tc>
        <w:tc>
          <w:tcPr/>
          <w:p>
            <w:pPr>
              <w:pStyle w:val="Compact"/>
              <w:jc w:val="left"/>
            </w:pPr>
            <w:r>
              <w:t xml:space="preserve">50 min per session</w:t>
            </w:r>
          </w:p>
        </w:tc>
      </w:tr>
      <w:tr>
        <w:tc>
          <w:tcPr/>
          <w:p>
            <w:pPr>
              <w:pStyle w:val="Compact"/>
              <w:jc w:val="left"/>
            </w:pPr>
            <w:r>
              <w:t xml:space="preserve">3</w:t>
            </w:r>
          </w:p>
        </w:tc>
        <w:tc>
          <w:tcPr/>
          <w:p>
            <w:pPr>
              <w:pStyle w:val="Compact"/>
              <w:jc w:val="left"/>
            </w:pPr>
            <w:r>
              <w:t xml:space="preserve">Group Workshops and Seminars</w:t>
            </w:r>
          </w:p>
        </w:tc>
        <w:tc>
          <w:tcPr/>
          <w:p>
            <w:pPr>
              <w:pStyle w:val="Compact"/>
              <w:jc w:val="left"/>
            </w:pPr>
            <w:r>
              <w:t xml:space="preserve">24 sessions</w:t>
            </w:r>
          </w:p>
        </w:tc>
        <w:tc>
          <w:tcPr/>
          <w:p>
            <w:pPr>
              <w:pStyle w:val="Compact"/>
              <w:jc w:val="left"/>
            </w:pPr>
            <w:r>
              <w:t xml:space="preserve">8,000</w:t>
            </w:r>
          </w:p>
        </w:tc>
        <w:tc>
          <w:tcPr/>
          <w:p>
            <w:pPr>
              <w:pStyle w:val="Compact"/>
              <w:jc w:val="left"/>
            </w:pPr>
            <w:r>
              <w:t xml:space="preserve">192,000</w:t>
            </w:r>
          </w:p>
        </w:tc>
        <w:tc>
          <w:tcPr/>
          <w:p>
            <w:pPr>
              <w:pStyle w:val="Compact"/>
              <w:jc w:val="left"/>
            </w:pPr>
            <w:r>
              <w:t xml:space="preserve">Up to 25 students per group</w:t>
            </w:r>
          </w:p>
        </w:tc>
      </w:tr>
      <w:tr>
        <w:tc>
          <w:tcPr/>
          <w:p>
            <w:pPr>
              <w:pStyle w:val="Compact"/>
              <w:jc w:val="left"/>
            </w:pPr>
            <w:r>
              <w:t xml:space="preserve">4</w:t>
            </w:r>
          </w:p>
        </w:tc>
        <w:tc>
          <w:tcPr/>
          <w:p>
            <w:pPr>
              <w:pStyle w:val="Compact"/>
              <w:jc w:val="left"/>
            </w:pPr>
            <w:r>
              <w:t xml:space="preserve">Professional Development and Certification Maintenance</w:t>
            </w:r>
          </w:p>
        </w:tc>
        <w:tc>
          <w:tcPr/>
          <w:p>
            <w:pPr>
              <w:pStyle w:val="Compact"/>
              <w:jc w:val="left"/>
            </w:pPr>
            <w:r>
              <w:t xml:space="preserve">1 year</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Accredited courses in Moscow</w:t>
            </w:r>
          </w:p>
        </w:tc>
      </w:tr>
      <w:tr>
        <w:tc>
          <w:tcPr/>
          <w:p>
            <w:pPr>
              <w:pStyle w:val="Compact"/>
              <w:jc w:val="left"/>
            </w:pPr>
            <w:r>
              <w:t xml:space="preserve">5</w:t>
            </w:r>
          </w:p>
        </w:tc>
        <w:tc>
          <w:tcPr/>
          <w:p>
            <w:pPr>
              <w:pStyle w:val="Compact"/>
              <w:jc w:val="left"/>
            </w:pPr>
            <w:r>
              <w:t xml:space="preserve">Crisis Intervention and Emergency Response Package</w:t>
            </w:r>
          </w:p>
        </w:tc>
        <w:tc>
          <w:tcPr/>
          <w:p>
            <w:pPr>
              <w:pStyle w:val="Compact"/>
              <w:jc w:val="left"/>
            </w:pPr>
            <w:r>
              <w:t xml:space="preserve">1 year</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24/7 on-call support</w:t>
            </w:r>
          </w:p>
        </w:tc>
      </w:tr>
      <w:tr>
        <w:tc>
          <w:tcPr/>
          <w:p>
            <w:pPr>
              <w:pStyle w:val="Compact"/>
              <w:jc w:val="left"/>
            </w:pPr>
            <w:r>
              <w:t xml:space="preserve">6</w:t>
            </w:r>
          </w:p>
        </w:tc>
        <w:tc>
          <w:tcPr/>
          <w:p>
            <w:pPr>
              <w:pStyle w:val="Compact"/>
              <w:jc w:val="left"/>
            </w:pPr>
            <w:r>
              <w:t xml:space="preserve">Parent Consultation Hours and Teacher Training</w:t>
            </w:r>
          </w:p>
        </w:tc>
        <w:tc>
          <w:tcPr/>
          <w:p>
            <w:pPr>
              <w:pStyle w:val="Compact"/>
              <w:jc w:val="left"/>
            </w:pPr>
            <w:r>
              <w:t xml:space="preserve">10 months</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Bi-weekly + monthly</w:t>
            </w:r>
          </w:p>
        </w:tc>
      </w:tr>
      <w:tr>
        <w:tc>
          <w:tcPr/>
          <w:p>
            <w:pPr>
              <w:pStyle w:val="Compact"/>
              <w:jc w:val="left"/>
            </w:pPr>
            <w:r>
              <w:t xml:space="preserve">7</w:t>
            </w:r>
          </w:p>
        </w:tc>
        <w:tc>
          <w:tcPr/>
          <w:p>
            <w:pPr>
              <w:pStyle w:val="Compact"/>
              <w:jc w:val="left"/>
            </w:pPr>
            <w:r>
              <w:t xml:space="preserve">Administrative Support and Documentation</w:t>
            </w:r>
          </w:p>
        </w:tc>
        <w:tc>
          <w:tcPr/>
          <w:p>
            <w:pPr>
              <w:pStyle w:val="Compact"/>
              <w:jc w:val="left"/>
            </w:pPr>
            <w:r>
              <w:t xml:space="preserve">1 year</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Reports, case files, records</w:t>
            </w:r>
          </w:p>
        </w:tc>
      </w:tr>
      <w:tr>
        <w:tc>
          <w:tcPr/>
          <w:p>
            <w:pPr>
              <w:pStyle w:val="Compact"/>
              <w:jc w:val="left"/>
            </w:pPr>
            <w:r>
              <w:t xml:space="preserve">8</w:t>
            </w:r>
          </w:p>
        </w:tc>
        <w:tc>
          <w:tcPr/>
          <w:p>
            <w:pPr>
              <w:pStyle w:val="Compact"/>
              <w:jc w:val="left"/>
            </w:pPr>
            <w:r>
              <w:t xml:space="preserve">Specialized Assessment Tools and Psychological Testing Licenses</w:t>
            </w:r>
          </w:p>
        </w:tc>
        <w:tc>
          <w:tcPr/>
          <w:p>
            <w:pPr>
              <w:pStyle w:val="Compact"/>
              <w:jc w:val="left"/>
            </w:pPr>
            <w:r>
              <w:t xml:space="preserve">1 year</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Validated instruments for Russia</w:t>
            </w:r>
          </w:p>
        </w:tc>
      </w:tr>
      <w:tr>
        <w:tc>
          <w:tcPr/>
          <w:p>
            <w:pPr>
              <w:pStyle w:val="Compact"/>
              <w:jc w:val="left"/>
            </w:pPr>
            <w:r>
              <w:t xml:space="preserve">9</w:t>
            </w:r>
          </w:p>
        </w:tc>
        <w:tc>
          <w:tcPr/>
          <w:p>
            <w:pPr>
              <w:pStyle w:val="Compact"/>
              <w:jc w:val="left"/>
            </w:pPr>
            <w:r>
              <w:t xml:space="preserve">Office Setup, Furniture, and Equipment (One-time)</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Confidential counseling room</w:t>
            </w:r>
          </w:p>
        </w:tc>
      </w:tr>
      <w:tr>
        <w:tc>
          <w:tcPr/>
          <w:p>
            <w:pPr>
              <w:pStyle w:val="Compact"/>
              <w:jc w:val="left"/>
            </w:pPr>
            <w:r>
              <w:t xml:space="preserve">10</w:t>
            </w:r>
          </w:p>
        </w:tc>
        <w:tc>
          <w:tcPr/>
          <w:p>
            <w:pPr>
              <w:pStyle w:val="Compact"/>
              <w:jc w:val="left"/>
            </w:pPr>
            <w:r>
              <w:t xml:space="preserve">Project Management and Supervision Fee</w:t>
            </w:r>
          </w:p>
        </w:tc>
        <w:tc>
          <w:tcPr/>
          <w:p>
            <w:pPr>
              <w:pStyle w:val="Compact"/>
              <w:jc w:val="left"/>
            </w:pPr>
            <w:r>
              <w:t xml:space="preserve">1 year</w:t>
            </w:r>
          </w:p>
        </w:tc>
        <w:tc>
          <w:tcPr/>
          <w:p>
            <w:pPr>
              <w:pStyle w:val="Compact"/>
              <w:jc w:val="left"/>
            </w:pPr>
            <w:r>
              <w:t xml:space="preserve">90,000</w:t>
            </w:r>
          </w:p>
        </w:tc>
        <w:tc>
          <w:tcPr/>
          <w:p>
            <w:pPr>
              <w:pStyle w:val="Compact"/>
              <w:jc w:val="left"/>
            </w:pPr>
            <w:r>
              <w:t xml:space="preserve">90,000</w:t>
            </w:r>
          </w:p>
        </w:tc>
        <w:tc>
          <w:tcPr/>
          <w:p>
            <w:pPr>
              <w:pStyle w:val="Compact"/>
              <w:jc w:val="left"/>
            </w:pPr>
            <w:r>
              <w:t xml:space="preserve">Quarterly reviews</w:t>
            </w:r>
          </w:p>
        </w:tc>
      </w:tr>
      <w:tr>
        <w:tc>
          <w:tcPr>
            <w:gridSpan w:val="4"/>
          </w:tcPr>
          <w:p>
            <w:pPr>
              <w:pStyle w:val="Compact"/>
              <w:jc w:val="right"/>
            </w:pPr>
            <w:r>
              <w:t xml:space="preserve">SUBTOTAL:</w:t>
            </w:r>
          </w:p>
        </w:tc>
        <w:tc>
          <w:tcPr/>
          <w:p>
            <w:pPr>
              <w:pStyle w:val="Compact"/>
              <w:jc w:val="left"/>
            </w:pPr>
            <w:r>
              <w:t xml:space="preserve">2,967,000</w:t>
            </w:r>
          </w:p>
        </w:tc>
        <w:tc>
          <w:tcPr/>
          <w:p>
            <w:pPr>
              <w:pStyle w:val="Compact"/>
            </w:pPr>
          </w:p>
        </w:tc>
      </w:tr>
      <w:tr>
        <w:tc>
          <w:tcPr>
            <w:gridSpan w:val="4"/>
          </w:tcPr>
          <w:p>
            <w:pPr>
              <w:pStyle w:val="Compact"/>
              <w:jc w:val="right"/>
            </w:pPr>
            <w:r>
              <w:t xml:space="preserve">VAT (20%):</w:t>
            </w:r>
          </w:p>
        </w:tc>
        <w:tc>
          <w:tcPr/>
          <w:p>
            <w:pPr>
              <w:pStyle w:val="Compact"/>
              <w:jc w:val="left"/>
            </w:pPr>
            <w:r>
              <w:t xml:space="preserve">593,400</w:t>
            </w:r>
          </w:p>
        </w:tc>
        <w:tc>
          <w:tcPr/>
          <w:p>
            <w:pPr>
              <w:pStyle w:val="Compact"/>
            </w:pPr>
          </w:p>
        </w:tc>
      </w:tr>
      <w:tr>
        <w:tc>
          <w:tcPr>
            <w:gridSpan w:val="4"/>
          </w:tcPr>
          <w:p>
            <w:pPr>
              <w:pStyle w:val="Compact"/>
              <w:jc w:val="right"/>
            </w:pPr>
            <w:r>
              <w:t xml:space="preserve">GRAND TOTAL:</w:t>
            </w:r>
          </w:p>
        </w:tc>
        <w:tc>
          <w:tcPr/>
          <w:p>
            <w:pPr>
              <w:pStyle w:val="Compact"/>
              <w:jc w:val="left"/>
            </w:pPr>
            <w:r>
              <w:t xml:space="preserve">3,560,400</w:t>
            </w:r>
          </w:p>
        </w:tc>
        <w:tc>
          <w:tcPr/>
          <w:p>
            <w:pPr>
              <w:pStyle w:val="Compact"/>
              <w:jc w:val="left"/>
            </w:pPr>
            <w:r>
              <w:t xml:space="preserve">RUB</w:t>
            </w:r>
          </w:p>
        </w:tc>
      </w:tr>
    </w:tbl>
    <w:bookmarkEnd w:id="24"/>
    <w:bookmarkStart w:id="25" w:name="payment-terms"/>
    <w:p>
      <w:pPr>
        <w:pStyle w:val="Heading2"/>
      </w:pPr>
      <w:r>
        <w:t xml:space="preserve">5. Payment Terms</w:t>
      </w:r>
    </w:p>
    <w:p>
      <w:pPr>
        <w:pStyle w:val="FirstParagraph"/>
      </w:pPr>
      <w:r>
        <w:t xml:space="preserve">The total amount of this</w:t>
      </w:r>
      <w:r>
        <w:t xml:space="preserve"> </w:t>
      </w:r>
      <w:r>
        <w:rPr>
          <w:bCs/>
          <w:b/>
        </w:rPr>
        <w:t xml:space="preserve">Quotation Estimate</w:t>
      </w:r>
      <w:r>
        <w:t xml:space="preserve"> </w:t>
      </w:r>
      <w:r>
        <w:t xml:space="preserve">shall be paid in the following installments:</w:t>
      </w:r>
    </w:p>
    <w:p>
      <w:pPr>
        <w:numPr>
          <w:ilvl w:val="0"/>
          <w:numId w:val="1002"/>
        </w:numPr>
        <w:pStyle w:val="Compact"/>
      </w:pPr>
      <w:r>
        <w:rPr>
          <w:bCs/>
          <w:b/>
        </w:rPr>
        <w:t xml:space="preserve">First Installment (30%):</w:t>
      </w:r>
      <w:r>
        <w:t xml:space="preserve"> </w:t>
      </w:r>
      <w:r>
        <w:t xml:space="preserve">1,068,120 RUB – due within 10 business days of contract signing (by 25 September 2025).</w:t>
      </w:r>
    </w:p>
    <w:p>
      <w:pPr>
        <w:numPr>
          <w:ilvl w:val="0"/>
          <w:numId w:val="1002"/>
        </w:numPr>
        <w:pStyle w:val="Compact"/>
      </w:pPr>
      <w:r>
        <w:rPr>
          <w:bCs/>
          <w:b/>
        </w:rPr>
        <w:t xml:space="preserve">Second Installment (40%):</w:t>
      </w:r>
      <w:r>
        <w:t xml:space="preserve"> </w:t>
      </w:r>
      <w:r>
        <w:t xml:space="preserve">1,424,160 RUB – due by 15 January 2026.</w:t>
      </w:r>
    </w:p>
    <w:p>
      <w:pPr>
        <w:numPr>
          <w:ilvl w:val="0"/>
          <w:numId w:val="1002"/>
        </w:numPr>
        <w:pStyle w:val="Compact"/>
      </w:pPr>
      <w:r>
        <w:rPr>
          <w:bCs/>
          <w:b/>
        </w:rPr>
        <w:t xml:space="preserve">Third Installment (30%):</w:t>
      </w:r>
      <w:r>
        <w:t xml:space="preserve"> </w:t>
      </w:r>
      <w:r>
        <w:t xml:space="preserve">1,068,120 RUB – due by 15 May 2026.</w:t>
      </w:r>
    </w:p>
    <w:p>
      <w:pPr>
        <w:pStyle w:val="FirstParagraph"/>
      </w:pPr>
      <w:r>
        <w:t xml:space="preserve">All payments shall be made via bank transfer to the account of EduCare Professional Services LLC, Sberbank, Moscow, Russia. Invoices will be issued in Russian in accordance with local tax regulations.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a period of 90 days from the date of issue. After the expiration date, pricing may be subject to revision based on current market conditions in</w:t>
      </w:r>
      <w:r>
        <w:t xml:space="preserve"> </w:t>
      </w:r>
      <w:r>
        <w:rPr>
          <w:bCs/>
          <w:b/>
        </w:rPr>
        <w:t xml:space="preserve">Russia Moscow</w:t>
      </w:r>
      <w:r>
        <w:t xml:space="preserve">.</w:t>
      </w:r>
    </w:p>
    <w:p>
      <w:pPr>
        <w:numPr>
          <w:ilvl w:val="0"/>
          <w:numId w:val="1003"/>
        </w:numPr>
        <w:pStyle w:val="Compact"/>
      </w:pPr>
      <w:r>
        <w:t xml:space="preserve">The</w:t>
      </w:r>
      <w:r>
        <w:t xml:space="preserve"> </w:t>
      </w:r>
      <w:r>
        <w:rPr>
          <w:bCs/>
          <w:b/>
        </w:rPr>
        <w:t xml:space="preserve">School Counselor</w:t>
      </w:r>
      <w:r>
        <w:t xml:space="preserve"> </w:t>
      </w:r>
      <w:r>
        <w:t xml:space="preserve">assigned to this engagement must hold a minimum of a Master's degree in Psychology or Counseling, valid certification from the Russian Psychological Society, and a minimum of five (5) years of experience in educational settings.</w:t>
      </w:r>
    </w:p>
    <w:p>
      <w:pPr>
        <w:numPr>
          <w:ilvl w:val="0"/>
          <w:numId w:val="1003"/>
        </w:numPr>
        <w:pStyle w:val="Compact"/>
      </w:pPr>
      <w:r>
        <w:t xml:space="preserve">All services shall be delivered in compliance with the data protection laws of the Russian Federation (Federal Law No. 152-FZ on Personal Data) and the ethical code of the Russian Psychological Society.</w:t>
      </w:r>
    </w:p>
    <w:p>
      <w:pPr>
        <w:numPr>
          <w:ilvl w:val="0"/>
          <w:numId w:val="1003"/>
        </w:numPr>
        <w:pStyle w:val="Compact"/>
      </w:pPr>
      <w:r>
        <w:t xml:space="preserve">Confidentiality of all student records, session notes, and case files is guaranteed. Records shall be stored in a secure, access-controlled environment within the Moscow facility.</w:t>
      </w:r>
    </w:p>
    <w:p>
      <w:pPr>
        <w:numPr>
          <w:ilvl w:val="0"/>
          <w:numId w:val="1003"/>
        </w:numPr>
        <w:pStyle w:val="Compact"/>
      </w:pPr>
      <w:r>
        <w:t xml:space="preserve">Either party may terminate the contract with 30 days' written notice. In the event of early termination, a pro-rated refund of unused services will be calculated and issued within 15 business days.</w:t>
      </w:r>
    </w:p>
    <w:p>
      <w:pPr>
        <w:numPr>
          <w:ilvl w:val="0"/>
          <w:numId w:val="1003"/>
        </w:numPr>
        <w:pStyle w:val="Compact"/>
      </w:pPr>
      <w:r>
        <w:t xml:space="preserve">This Quotation Estimate does not constitute a binding contract until both parties have executed the formal Service Agreement in duplicate.</w:t>
      </w:r>
    </w:p>
    <w:p>
      <w:pPr>
        <w:numPr>
          <w:ilvl w:val="0"/>
          <w:numId w:val="1003"/>
        </w:numPr>
        <w:pStyle w:val="Compact"/>
      </w:pPr>
      <w:r>
        <w:t xml:space="preserve">All disputes arising from this engagement shall be resolved through arbitration in Moscow, Russia, in accordance with the rules of the Moscow Arbitration Court.</w:t>
      </w:r>
    </w:p>
    <w:p>
      <w:pPr>
        <w:numPr>
          <w:ilvl w:val="0"/>
          <w:numId w:val="1003"/>
        </w:numPr>
        <w:pStyle w:val="Compact"/>
      </w:pPr>
      <w:r>
        <w:t xml:space="preserve">The School Counselor shall attend all mandatory school meetings, parent-teacher conferences, and institutional events as required by the school calendar in Moscow.</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this</w:t>
      </w:r>
      <w:r>
        <w:t xml:space="preserve"> </w:t>
      </w:r>
      <w:r>
        <w:rPr>
          <w:bCs/>
          <w:b/>
        </w:rPr>
        <w:t xml:space="preserve">Quotation Estimate</w:t>
      </w:r>
      <w:r>
        <w:t xml:space="preserve"> </w:t>
      </w:r>
      <w:r>
        <w:t xml:space="preserve">for</w:t>
      </w:r>
      <w:r>
        <w:t xml:space="preserve"> </w:t>
      </w:r>
      <w:r>
        <w:rPr>
          <w:bCs/>
          <w:b/>
        </w:rPr>
        <w:t xml:space="preserve">School Counselor</w:t>
      </w:r>
      <w:r>
        <w:t xml:space="preserve"> </w:t>
      </w:r>
      <w:r>
        <w:t xml:space="preserve">services in</w:t>
      </w:r>
      <w:r>
        <w:t xml:space="preserve"> </w:t>
      </w:r>
      <w:r>
        <w:rPr>
          <w:bCs/>
          <w:b/>
        </w:rPr>
        <w:t xml:space="preserve">Russia Moscow</w:t>
      </w:r>
      <w:r>
        <w:t xml:space="preserve"> </w:t>
      </w:r>
      <w:r>
        <w:t xml:space="preserve">has been reviewed, understood, and accepted in all material respects.</w:t>
      </w:r>
    </w:p>
    <w:bookmarkEnd w:id="27"/>
    <w:p>
      <w:pPr>
        <w:pStyle w:val="BodyText"/>
      </w:pPr>
      <w:r>
        <w:rPr>
          <w:bCs/>
          <w:b/>
        </w:rPr>
        <w:t xml:space="preserve">For EduCare Professional Services LLC</w:t>
      </w:r>
    </w:p>
    <w:p>
      <w:pPr>
        <w:pStyle w:val="BodyText"/>
      </w:pPr>
      <w:r>
        <w:t xml:space="preserve">Signature: _________________________</w:t>
      </w:r>
      <w:r>
        <w:br/>
      </w:r>
      <w:r>
        <w:t xml:space="preserve">Name: Anna V. Petrova</w:t>
      </w:r>
      <w:r>
        <w:br/>
      </w:r>
      <w:r>
        <w:t xml:space="preserve">Title: Senior Account Manager</w:t>
      </w:r>
      <w:r>
        <w:br/>
      </w:r>
      <w:r>
        <w:t xml:space="preserve">Date: _______________</w:t>
      </w:r>
    </w:p>
    <w:p>
      <w:pPr>
        <w:pStyle w:val="BodyText"/>
      </w:pPr>
      <w:r>
        <w:rPr>
          <w:bCs/>
          <w:b/>
        </w:rPr>
        <w:t xml:space="preserve">For the Client Institution</w:t>
      </w:r>
    </w:p>
    <w:p>
      <w:pPr>
        <w:pStyle w:val="BodyText"/>
      </w:pPr>
      <w:r>
        <w:t xml:space="preserve">Signature: _________________________</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QTE-2025-MSC-0472 | EduCare Professional Services LLC | Moscow, Russia</w:t>
      </w:r>
    </w:p>
    <w:p>
      <w:pPr>
        <w:pStyle w:val="BodyText"/>
      </w:pPr>
      <w:r>
        <w:t xml:space="preserve">This document is confidential and intended solely for the named recipient. Unauthorized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Russia Moscow</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file>