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School</w:t>
      </w:r>
      <w:r>
        <w:t xml:space="preserve"> </w:t>
      </w:r>
      <w:r>
        <w:t xml:space="preserve">Counselor</w:t>
      </w:r>
      <w:r>
        <w:t xml:space="preserve"> </w:t>
      </w:r>
      <w:r>
        <w:t xml:space="preserve">Services</w:t>
      </w:r>
      <w:r>
        <w:t xml:space="preserve"> </w:t>
      </w:r>
      <w:r>
        <w:t xml:space="preserve">-</w:t>
      </w:r>
      <w:r>
        <w:t xml:space="preserve"> </w:t>
      </w:r>
      <w:r>
        <w:t xml:space="preserve">Turkey</w:t>
      </w:r>
      <w:r>
        <w:t xml:space="preserve"> </w:t>
      </w:r>
      <w:r>
        <w:t xml:space="preserve">Ankara</w:t>
      </w:r>
    </w:p>
    <w:bookmarkStart w:id="20" w:name="quotation-estimate"/>
    <w:p>
      <w:pPr>
        <w:pStyle w:val="Heading1"/>
      </w:pPr>
      <w:r>
        <w:t xml:space="preserve">QUOTATION ESTIMATE</w:t>
      </w:r>
    </w:p>
    <w:p>
      <w:pPr>
        <w:pStyle w:val="FirstParagraph"/>
      </w:pPr>
      <w:r>
        <w:t xml:space="preserve">Professional School Counselor Services — Turkey Ankara</w:t>
      </w:r>
    </w:p>
    <w:p>
      <w:pPr>
        <w:pStyle w:val="BodyText"/>
      </w:pPr>
      <w:r>
        <w:t xml:space="preserve">Document Reference: QE-ANK-2025-0047 | Validity: 60 Days from Issue Date</w:t>
      </w:r>
    </w:p>
    <w:bookmarkEnd w:id="20"/>
    <w:p>
      <w:pPr>
        <w:pStyle w:val="BodyText"/>
      </w:pPr>
      <w:r>
        <w:rPr>
          <w:bCs/>
          <w:b/>
        </w:rPr>
        <w:t xml:space="preserve">Prepared By:</w:t>
      </w:r>
      <w:r>
        <w:br/>
      </w:r>
      <w:r>
        <w:t xml:space="preserve">EduCounsel Ankara Ltd.</w:t>
      </w:r>
      <w:r>
        <w:br/>
      </w:r>
      <w:r>
        <w:t xml:space="preserve">Kızılay Mah. Atatürk Cad. No. 142</w:t>
      </w:r>
      <w:r>
        <w:br/>
      </w:r>
      <w:r>
        <w:t xml:space="preserve">Çankaya, Ankara 06690, Turkey</w:t>
      </w:r>
      <w:r>
        <w:br/>
      </w:r>
      <w:r>
        <w:t xml:space="preserve">Tel: +90 312 445 6789</w:t>
      </w:r>
      <w:r>
        <w:br/>
      </w:r>
      <w:r>
        <w:t xml:space="preserve">Email: quotes@educounselankara.com.tr</w:t>
      </w:r>
    </w:p>
    <w:p>
      <w:pPr>
        <w:pStyle w:val="BodyText"/>
      </w:pPr>
      <w:r>
        <w:rPr>
          <w:bCs/>
          <w:b/>
        </w:rPr>
        <w:t xml:space="preserve">Prepared For:</w:t>
      </w:r>
      <w:r>
        <w:br/>
      </w:r>
      <w:r>
        <w:t xml:space="preserve">Ankara Metropolitan Education Directorate</w:t>
      </w:r>
      <w:r>
        <w:br/>
      </w:r>
      <w:r>
        <w:t xml:space="preserve">Gazi Mah. 15 Temmuz Cad. No. 8</w:t>
      </w:r>
      <w:r>
        <w:br/>
      </w:r>
      <w:r>
        <w:t xml:space="preserve">Çankaya, Ankara 06700, Turkey</w:t>
      </w:r>
      <w:r>
        <w:br/>
      </w:r>
      <w:r>
        <w:t xml:space="preserve">Contact: Dr. Elif Yılmaz</w:t>
      </w:r>
      <w:r>
        <w:br/>
      </w:r>
      <w:r>
        <w:t xml:space="preserve">Email: e.yilmaz@ankaraedu.gov.tr</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document is issued by EduCounsel Ankara Ltd. to formally present the scope, deliverables, and associated costs for the provision of a qualified</w:t>
      </w:r>
      <w:r>
        <w:t xml:space="preserve"> </w:t>
      </w:r>
      <w:r>
        <w:t xml:space="preserve">School Counselor</w:t>
      </w:r>
      <w:r>
        <w:t xml:space="preserve"> </w:t>
      </w:r>
      <w:r>
        <w:t xml:space="preserve">to be deployed within the public and private school network of</w:t>
      </w:r>
      <w:r>
        <w:t xml:space="preserve"> </w:t>
      </w:r>
      <w:r>
        <w:t xml:space="preserve">Turkey Ankara</w:t>
      </w:r>
      <w:r>
        <w:t xml:space="preserve">. The purpose of this estimate is to provide the Ankara Metropolitan Education Directorate with a transparent, itemized financial projection for the academic year 2025–2026, enabling informed budgetary planning and procurement decisions in full compliance with the Turkish Ministry of National Education (MEB) regulations and local municipal procurement guidelines.</w:t>
      </w:r>
    </w:p>
    <w:p>
      <w:pPr>
        <w:pStyle w:val="BodyText"/>
      </w:pPr>
      <w:r>
        <w:t xml:space="preserve">The</w:t>
      </w:r>
      <w:r>
        <w:t xml:space="preserve"> </w:t>
      </w:r>
      <w:r>
        <w:t xml:space="preserve">School Counselor</w:t>
      </w:r>
      <w:r>
        <w:t xml:space="preserve"> </w:t>
      </w:r>
      <w:r>
        <w:t xml:space="preserve">engagement described herein is designed to support student well-being, academic performance, behavioral intervention, and family engagement across all educational levels operating within the Ankara metropolitan area. This</w:t>
      </w:r>
      <w:r>
        <w:t xml:space="preserve"> </w:t>
      </w:r>
      <w:r>
        <w:t xml:space="preserve">Quotation Estimate</w:t>
      </w:r>
      <w:r>
        <w:t xml:space="preserve"> </w:t>
      </w:r>
      <w:r>
        <w:t xml:space="preserve">reflects current market rates for licensed counseling professionals in</w:t>
      </w:r>
      <w:r>
        <w:t xml:space="preserve"> </w:t>
      </w:r>
      <w:r>
        <w:t xml:space="preserve">Turkey Ankara</w:t>
      </w:r>
      <w:r>
        <w:t xml:space="preserve"> </w:t>
      </w:r>
      <w:r>
        <w:t xml:space="preserve">as of the date of issue.</w:t>
      </w:r>
    </w:p>
    <w:bookmarkEnd w:id="21"/>
    <w:bookmarkStart w:id="22" w:name="Xe31f78704d29c9b53b367cc6c5f144381cff21a"/>
    <w:p>
      <w:pPr>
        <w:pStyle w:val="Heading2"/>
      </w:pPr>
      <w:r>
        <w:t xml:space="preserve">2. Scope of Services — School Counselor in Turkey Ankara</w:t>
      </w:r>
    </w:p>
    <w:p>
      <w:pPr>
        <w:pStyle w:val="FirstParagraph"/>
      </w:pPr>
      <w:r>
        <w:t xml:space="preserve">The</w:t>
      </w:r>
      <w:r>
        <w:t xml:space="preserve"> </w:t>
      </w:r>
      <w:r>
        <w:t xml:space="preserve">School Counselor</w:t>
      </w:r>
      <w:r>
        <w:t xml:space="preserve"> </w:t>
      </w:r>
      <w:r>
        <w:t xml:space="preserve">engaged under this</w:t>
      </w:r>
      <w:r>
        <w:t xml:space="preserve"> </w:t>
      </w:r>
      <w:r>
        <w:t xml:space="preserve">Quotation Estimate</w:t>
      </w:r>
      <w:r>
        <w:t xml:space="preserve"> </w:t>
      </w:r>
      <w:r>
        <w:t xml:space="preserve">shall provide the following services to schools located throughout</w:t>
      </w:r>
      <w:r>
        <w:t xml:space="preserve"> </w:t>
      </w:r>
      <w:r>
        <w:t xml:space="preserve">Turkey Ankara</w:t>
      </w:r>
      <w:r>
        <w:t xml:space="preserve">, including but not limited to the districts of Çankaya, Keçiören, Yenimahalle, Mamak, Etimesgut, and Sincan:</w:t>
      </w:r>
    </w:p>
    <w:p>
      <w:pPr>
        <w:numPr>
          <w:ilvl w:val="0"/>
          <w:numId w:val="1001"/>
        </w:numPr>
        <w:pStyle w:val="Compact"/>
      </w:pPr>
      <w:r>
        <w:t xml:space="preserve">Individual student counseling sessions (minimum 120 sessions per academic year per counselor)</w:t>
      </w:r>
    </w:p>
    <w:p>
      <w:pPr>
        <w:numPr>
          <w:ilvl w:val="0"/>
          <w:numId w:val="1001"/>
        </w:numPr>
        <w:pStyle w:val="Compact"/>
      </w:pPr>
      <w:r>
        <w:t xml:space="preserve">Group counseling workshops on topics including bullying prevention, exam anxiety, social-emotional learning, and career guidance</w:t>
      </w:r>
    </w:p>
    <w:p>
      <w:pPr>
        <w:numPr>
          <w:ilvl w:val="0"/>
          <w:numId w:val="1001"/>
        </w:numPr>
        <w:pStyle w:val="Compact"/>
      </w:pPr>
      <w:r>
        <w:t xml:space="preserve">Behavioral assessment and intervention planning in coordination with school administration and MEB compliance officers</w:t>
      </w:r>
    </w:p>
    <w:p>
      <w:pPr>
        <w:numPr>
          <w:ilvl w:val="0"/>
          <w:numId w:val="1001"/>
        </w:numPr>
        <w:pStyle w:val="Compact"/>
      </w:pPr>
      <w:r>
        <w:t xml:space="preserve">Parent and guardian consultation meetings (minimum 40 per term)</w:t>
      </w:r>
    </w:p>
    <w:p>
      <w:pPr>
        <w:numPr>
          <w:ilvl w:val="0"/>
          <w:numId w:val="1001"/>
        </w:numPr>
        <w:pStyle w:val="Compact"/>
      </w:pPr>
      <w:r>
        <w:t xml:space="preserve">Crisis intervention and referral coordination with Ankara regional mental health facilities</w:t>
      </w:r>
    </w:p>
    <w:p>
      <w:pPr>
        <w:numPr>
          <w:ilvl w:val="0"/>
          <w:numId w:val="1001"/>
        </w:numPr>
        <w:pStyle w:val="Compact"/>
      </w:pPr>
      <w:r>
        <w:t xml:space="preserve">Monthly progress reporting to the Ankara Metropolitan Education Directorate</w:t>
      </w:r>
    </w:p>
    <w:p>
      <w:pPr>
        <w:numPr>
          <w:ilvl w:val="0"/>
          <w:numId w:val="1001"/>
        </w:numPr>
        <w:pStyle w:val="Compact"/>
      </w:pPr>
      <w:r>
        <w:t xml:space="preserve">Participation in school-wide wellness programs and awareness campaigns specific to the</w:t>
      </w:r>
      <w:r>
        <w:t xml:space="preserve"> </w:t>
      </w:r>
      <w:r>
        <w:t xml:space="preserve">Turkey Ankara</w:t>
      </w:r>
      <w:r>
        <w:t xml:space="preserve"> </w:t>
      </w:r>
      <w:r>
        <w:t xml:space="preserve">educational community</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(TRY)</w:t>
            </w:r>
          </w:p>
        </w:tc>
        <w:tc>
          <w:tcPr/>
          <w:p>
            <w:pPr>
              <w:pStyle w:val="Compact"/>
              <w:jc w:val="left"/>
            </w:pPr>
            <w:r>
              <w:t xml:space="preserve">Total (TRY)</w:t>
            </w:r>
          </w:p>
        </w:tc>
      </w:tr>
      <w:tr>
        <w:tc>
          <w:tcPr/>
          <w:p>
            <w:pPr>
              <w:pStyle w:val="Compact"/>
              <w:jc w:val="left"/>
            </w:pPr>
            <w:r>
              <w:t xml:space="preserve">01</w:t>
            </w:r>
          </w:p>
        </w:tc>
        <w:tc>
          <w:tcPr/>
          <w:p>
            <w:pPr>
              <w:pStyle w:val="Compact"/>
              <w:jc w:val="left"/>
            </w:pPr>
            <w:r>
              <w:t xml:space="preserve">Senior School Counselor — Monthly Professional Fee (10 months)</w:t>
            </w:r>
          </w:p>
        </w:tc>
        <w:tc>
          <w:tcPr/>
          <w:p>
            <w:pPr>
              <w:pStyle w:val="Compact"/>
              <w:jc w:val="left"/>
            </w:pPr>
            <w:r>
              <w:t xml:space="preserve">10</w:t>
            </w:r>
          </w:p>
        </w:tc>
        <w:tc>
          <w:tcPr/>
          <w:p>
            <w:pPr>
              <w:pStyle w:val="Compact"/>
              <w:jc w:val="left"/>
            </w:pPr>
            <w:r>
              <w:t xml:space="preserve">48,500.00</w:t>
            </w:r>
          </w:p>
        </w:tc>
        <w:tc>
          <w:tcPr/>
          <w:p>
            <w:pPr>
              <w:pStyle w:val="Compact"/>
              <w:jc w:val="left"/>
            </w:pPr>
            <w:r>
              <w:t xml:space="preserve">485,000.00</w:t>
            </w:r>
          </w:p>
        </w:tc>
      </w:tr>
      <w:tr>
        <w:tc>
          <w:tcPr/>
          <w:p>
            <w:pPr>
              <w:pStyle w:val="Compact"/>
              <w:jc w:val="left"/>
            </w:pPr>
            <w:r>
              <w:t xml:space="preserve">02</w:t>
            </w:r>
          </w:p>
        </w:tc>
        <w:tc>
          <w:tcPr/>
          <w:p>
            <w:pPr>
              <w:pStyle w:val="Compact"/>
              <w:jc w:val="left"/>
            </w:pPr>
            <w:r>
              <w:t xml:space="preserve">Associate School Counselor — Monthly Professional Fee (10 months)</w:t>
            </w:r>
          </w:p>
        </w:tc>
        <w:tc>
          <w:tcPr/>
          <w:p>
            <w:pPr>
              <w:pStyle w:val="Compact"/>
              <w:jc w:val="left"/>
            </w:pPr>
            <w:r>
              <w:t xml:space="preserve">10</w:t>
            </w:r>
          </w:p>
        </w:tc>
        <w:tc>
          <w:tcPr/>
          <w:p>
            <w:pPr>
              <w:pStyle w:val="Compact"/>
              <w:jc w:val="left"/>
            </w:pPr>
            <w:r>
              <w:t xml:space="preserve">32,000.00</w:t>
            </w:r>
          </w:p>
        </w:tc>
        <w:tc>
          <w:tcPr/>
          <w:p>
            <w:pPr>
              <w:pStyle w:val="Compact"/>
              <w:jc w:val="left"/>
            </w:pPr>
            <w:r>
              <w:t xml:space="preserve">320,000.00</w:t>
            </w:r>
          </w:p>
        </w:tc>
      </w:tr>
      <w:tr>
        <w:tc>
          <w:tcPr/>
          <w:p>
            <w:pPr>
              <w:pStyle w:val="Compact"/>
              <w:jc w:val="left"/>
            </w:pPr>
            <w:r>
              <w:t xml:space="preserve">03</w:t>
            </w:r>
          </w:p>
        </w:tc>
        <w:tc>
          <w:tcPr/>
          <w:p>
            <w:pPr>
              <w:pStyle w:val="Compact"/>
              <w:jc w:val="left"/>
            </w:pPr>
            <w:r>
              <w:t xml:space="preserve">Group Workshop Program Development &amp; Delivery (24 workshops)</w:t>
            </w:r>
          </w:p>
        </w:tc>
        <w:tc>
          <w:tcPr/>
          <w:p>
            <w:pPr>
              <w:pStyle w:val="Compact"/>
              <w:jc w:val="left"/>
            </w:pPr>
            <w:r>
              <w:t xml:space="preserve">24</w:t>
            </w:r>
          </w:p>
        </w:tc>
        <w:tc>
          <w:tcPr/>
          <w:p>
            <w:pPr>
              <w:pStyle w:val="Compact"/>
              <w:jc w:val="left"/>
            </w:pPr>
            <w:r>
              <w:t xml:space="preserve">6,500.00</w:t>
            </w:r>
          </w:p>
        </w:tc>
        <w:tc>
          <w:tcPr/>
          <w:p>
            <w:pPr>
              <w:pStyle w:val="Compact"/>
              <w:jc w:val="left"/>
            </w:pPr>
            <w:r>
              <w:t xml:space="preserve">156,000.00</w:t>
            </w:r>
          </w:p>
        </w:tc>
      </w:tr>
      <w:tr>
        <w:tc>
          <w:tcPr/>
          <w:p>
            <w:pPr>
              <w:pStyle w:val="Compact"/>
              <w:jc w:val="left"/>
            </w:pPr>
            <w:r>
              <w:t xml:space="preserve">04</w:t>
            </w:r>
          </w:p>
        </w:tc>
        <w:tc>
          <w:tcPr/>
          <w:p>
            <w:pPr>
              <w:pStyle w:val="Compact"/>
              <w:jc w:val="left"/>
            </w:pPr>
            <w:r>
              <w:t xml:space="preserve">Assessment Tools, Licenses &amp; Software Subscriptions (Annual)</w:t>
            </w:r>
          </w:p>
        </w:tc>
        <w:tc>
          <w:tcPr/>
          <w:p>
            <w:pPr>
              <w:pStyle w:val="Compact"/>
              <w:jc w:val="left"/>
            </w:pPr>
            <w:r>
              <w:t xml:space="preserve">1</w:t>
            </w:r>
          </w:p>
        </w:tc>
        <w:tc>
          <w:tcPr/>
          <w:p>
            <w:pPr>
              <w:pStyle w:val="Compact"/>
              <w:jc w:val="left"/>
            </w:pPr>
            <w:r>
              <w:t xml:space="preserve">85,000.00</w:t>
            </w:r>
          </w:p>
        </w:tc>
        <w:tc>
          <w:tcPr/>
          <w:p>
            <w:pPr>
              <w:pStyle w:val="Compact"/>
              <w:jc w:val="left"/>
            </w:pPr>
            <w:r>
              <w:t xml:space="preserve">85,000.00</w:t>
            </w:r>
          </w:p>
        </w:tc>
      </w:tr>
      <w:tr>
        <w:tc>
          <w:tcPr/>
          <w:p>
            <w:pPr>
              <w:pStyle w:val="Compact"/>
              <w:jc w:val="left"/>
            </w:pPr>
            <w:r>
              <w:t xml:space="preserve">05</w:t>
            </w:r>
          </w:p>
        </w:tc>
        <w:tc>
          <w:tcPr/>
          <w:p>
            <w:pPr>
              <w:pStyle w:val="Compact"/>
              <w:jc w:val="left"/>
            </w:pPr>
            <w:r>
              <w:t xml:space="preserve">Travel &amp; Logistics Across Turkey Ankara Districts (Annual)</w:t>
            </w:r>
          </w:p>
        </w:tc>
        <w:tc>
          <w:tcPr/>
          <w:p>
            <w:pPr>
              <w:pStyle w:val="Compact"/>
              <w:jc w:val="left"/>
            </w:pPr>
            <w:r>
              <w:t xml:space="preserve">1</w:t>
            </w:r>
          </w:p>
        </w:tc>
        <w:tc>
          <w:tcPr/>
          <w:p>
            <w:pPr>
              <w:pStyle w:val="Compact"/>
              <w:jc w:val="left"/>
            </w:pPr>
            <w:r>
              <w:t xml:space="preserve">42,000.00</w:t>
            </w:r>
          </w:p>
        </w:tc>
        <w:tc>
          <w:tcPr/>
          <w:p>
            <w:pPr>
              <w:pStyle w:val="Compact"/>
              <w:jc w:val="left"/>
            </w:pPr>
            <w:r>
              <w:t xml:space="preserve">42,000.00</w:t>
            </w:r>
          </w:p>
        </w:tc>
      </w:tr>
      <w:tr>
        <w:tc>
          <w:tcPr/>
          <w:p>
            <w:pPr>
              <w:pStyle w:val="Compact"/>
              <w:jc w:val="left"/>
            </w:pPr>
            <w:r>
              <w:t xml:space="preserve">06</w:t>
            </w:r>
          </w:p>
        </w:tc>
        <w:tc>
          <w:tcPr/>
          <w:p>
            <w:pPr>
              <w:pStyle w:val="Compact"/>
              <w:jc w:val="left"/>
            </w:pPr>
            <w:r>
              <w:t xml:space="preserve">Parent Consultation &amp; Community Outreach Program</w:t>
            </w:r>
          </w:p>
        </w:tc>
        <w:tc>
          <w:tcPr/>
          <w:p>
            <w:pPr>
              <w:pStyle w:val="Compact"/>
              <w:jc w:val="left"/>
            </w:pPr>
            <w:r>
              <w:t xml:space="preserve">1</w:t>
            </w:r>
          </w:p>
        </w:tc>
        <w:tc>
          <w:tcPr/>
          <w:p>
            <w:pPr>
              <w:pStyle w:val="Compact"/>
              <w:jc w:val="left"/>
            </w:pPr>
            <w:r>
              <w:t xml:space="preserve">38,000.00</w:t>
            </w:r>
          </w:p>
        </w:tc>
        <w:tc>
          <w:tcPr/>
          <w:p>
            <w:pPr>
              <w:pStyle w:val="Compact"/>
              <w:jc w:val="left"/>
            </w:pPr>
            <w:r>
              <w:t xml:space="preserve">38,000.00</w:t>
            </w:r>
          </w:p>
        </w:tc>
      </w:tr>
      <w:tr>
        <w:tc>
          <w:tcPr/>
          <w:p>
            <w:pPr>
              <w:pStyle w:val="Compact"/>
              <w:jc w:val="left"/>
            </w:pPr>
            <w:r>
              <w:t xml:space="preserve">07</w:t>
            </w:r>
          </w:p>
        </w:tc>
        <w:tc>
          <w:tcPr/>
          <w:p>
            <w:pPr>
              <w:pStyle w:val="Compact"/>
              <w:jc w:val="left"/>
            </w:pPr>
            <w:r>
              <w:t xml:space="preserve">Reporting, Documentation &amp; MEB Compliance Filing</w:t>
            </w:r>
          </w:p>
        </w:tc>
        <w:tc>
          <w:tcPr/>
          <w:p>
            <w:pPr>
              <w:pStyle w:val="Compact"/>
              <w:jc w:val="left"/>
            </w:pPr>
            <w:r>
              <w:t xml:space="preserve">1</w:t>
            </w:r>
          </w:p>
        </w:tc>
        <w:tc>
          <w:tcPr/>
          <w:p>
            <w:pPr>
              <w:pStyle w:val="Compact"/>
              <w:jc w:val="left"/>
            </w:pPr>
            <w:r>
              <w:t xml:space="preserve">25,000.00</w:t>
            </w:r>
          </w:p>
        </w:tc>
        <w:tc>
          <w:tcPr/>
          <w:p>
            <w:pPr>
              <w:pStyle w:val="Compact"/>
              <w:jc w:val="left"/>
            </w:pPr>
            <w:r>
              <w:t xml:space="preserve">25,000.00</w:t>
            </w:r>
          </w:p>
        </w:tc>
      </w:tr>
      <w:tr>
        <w:tc>
          <w:tcPr/>
          <w:p>
            <w:pPr>
              <w:pStyle w:val="Compact"/>
              <w:jc w:val="left"/>
            </w:pPr>
            <w:r>
              <w:t xml:space="preserve">08</w:t>
            </w:r>
          </w:p>
        </w:tc>
        <w:tc>
          <w:tcPr/>
          <w:p>
            <w:pPr>
              <w:pStyle w:val="Compact"/>
              <w:jc w:val="left"/>
            </w:pPr>
            <w:r>
              <w:t xml:space="preserve">Professional Liability Insurance &amp; Administrative Overhead</w:t>
            </w:r>
          </w:p>
        </w:tc>
        <w:tc>
          <w:tcPr/>
          <w:p>
            <w:pPr>
              <w:pStyle w:val="Compact"/>
              <w:jc w:val="left"/>
            </w:pPr>
            <w:r>
              <w:t xml:space="preserve">1</w:t>
            </w:r>
          </w:p>
        </w:tc>
        <w:tc>
          <w:tcPr/>
          <w:p>
            <w:pPr>
              <w:pStyle w:val="Compact"/>
              <w:jc w:val="left"/>
            </w:pPr>
            <w:r>
              <w:t xml:space="preserve">30,000.00</w:t>
            </w:r>
          </w:p>
        </w:tc>
        <w:tc>
          <w:tcPr/>
          <w:p>
            <w:pPr>
              <w:pStyle w:val="Compact"/>
              <w:jc w:val="left"/>
            </w:pPr>
            <w:r>
              <w:t xml:space="preserve">30,000.00</w:t>
            </w:r>
          </w:p>
        </w:tc>
      </w:tr>
      <w:tr>
        <w:tc>
          <w:tcPr>
            <w:gridSpan w:val="4"/>
          </w:tcPr>
          <w:p>
            <w:pPr>
              <w:pStyle w:val="Compact"/>
              <w:jc w:val="right"/>
            </w:pPr>
            <w:r>
              <w:t xml:space="preserve">GRAND TOTAL (TRY)</w:t>
            </w:r>
          </w:p>
        </w:tc>
        <w:tc>
          <w:tcPr/>
          <w:p>
            <w:pPr>
              <w:pStyle w:val="Compact"/>
              <w:jc w:val="left"/>
            </w:pPr>
            <w:r>
              <w:t xml:space="preserve">1,201,000.00</w:t>
            </w:r>
          </w:p>
        </w:tc>
      </w:tr>
      <w:tr>
        <w:tc>
          <w:tcPr>
            <w:gridSpan w:val="4"/>
          </w:tcPr>
          <w:p>
            <w:pPr>
              <w:pStyle w:val="Compact"/>
              <w:jc w:val="right"/>
            </w:pPr>
            <w:r>
              <w:t xml:space="preserve">VAT (20%) — Turkey Ankara Standard Rate</w:t>
            </w:r>
          </w:p>
        </w:tc>
        <w:tc>
          <w:tcPr/>
          <w:p>
            <w:pPr>
              <w:pStyle w:val="Compact"/>
              <w:jc w:val="left"/>
            </w:pPr>
            <w:r>
              <w:t xml:space="preserve">240,200.00</w:t>
            </w:r>
          </w:p>
        </w:tc>
      </w:tr>
      <w:tr>
        <w:tc>
          <w:tcPr>
            <w:gridSpan w:val="4"/>
          </w:tcPr>
          <w:p>
            <w:pPr>
              <w:pStyle w:val="Compact"/>
              <w:jc w:val="right"/>
            </w:pPr>
            <w:r>
              <w:t xml:space="preserve">TOTAL AMOUNT DUE (TRY)</w:t>
            </w:r>
          </w:p>
        </w:tc>
        <w:tc>
          <w:tcPr/>
          <w:p>
            <w:pPr>
              <w:pStyle w:val="Compact"/>
              <w:jc w:val="left"/>
            </w:pPr>
            <w:r>
              <w:t xml:space="preserve">1,441,200.00</w:t>
            </w:r>
          </w:p>
        </w:tc>
      </w:tr>
    </w:tbl>
    <w:p>
      <w:pPr>
        <w:pStyle w:val="BodyText"/>
      </w:pPr>
      <w:r>
        <w:t xml:space="preserve">All prices in this</w:t>
      </w:r>
      <w:r>
        <w:t xml:space="preserve"> </w:t>
      </w:r>
      <w:r>
        <w:t xml:space="preserve">Quotation Estimate</w:t>
      </w:r>
      <w:r>
        <w:t xml:space="preserve"> </w:t>
      </w:r>
      <w:r>
        <w:t xml:space="preserve">are denominated in Turkish Lira (TRY) and are subject to the prevailing exchange and inflation conditions in</w:t>
      </w:r>
      <w:r>
        <w:t xml:space="preserve"> </w:t>
      </w:r>
      <w:r>
        <w:t xml:space="preserve">Turkey Ankara</w:t>
      </w:r>
      <w:r>
        <w:t xml:space="preserve"> </w:t>
      </w:r>
      <w:r>
        <w:t xml:space="preserve">at the time of contract execution. A price adjustment clause of up to 8% may apply if the contract extends beyond the initial 60-day validity period of this estimate.</w:t>
      </w:r>
    </w:p>
    <w:bookmarkEnd w:id="23"/>
    <w:bookmarkStart w:id="24" w:name="payment-terms"/>
    <w:p>
      <w:pPr>
        <w:pStyle w:val="Heading2"/>
      </w:pPr>
      <w:r>
        <w:t xml:space="preserve">4. Payment Terms</w:t>
      </w:r>
    </w:p>
    <w:p>
      <w:pPr>
        <w:pStyle w:val="FirstParagraph"/>
      </w:pPr>
      <w:r>
        <w:t xml:space="preserve">Payment for the</w:t>
      </w:r>
      <w:r>
        <w:t xml:space="preserve"> </w:t>
      </w:r>
      <w:r>
        <w:t xml:space="preserve">School Counselor</w:t>
      </w:r>
      <w:r>
        <w:t xml:space="preserve"> </w:t>
      </w:r>
      <w:r>
        <w:t xml:space="preserve">services outlined in this</w:t>
      </w:r>
      <w:r>
        <w:t xml:space="preserve"> </w:t>
      </w:r>
      <w:r>
        <w:t xml:space="preserve">Quotation Estimate</w:t>
      </w:r>
      <w:r>
        <w:t xml:space="preserve"> </w:t>
      </w:r>
      <w:r>
        <w:t xml:space="preserve">shall be structured as follows: an initial mobilization payment of 20% upon contract signature, followed by quarterly installments of 25% each, due within 30 days of the end of each fiscal quarter. The final 20% balance shall be due upon successful completion of the academic year and submission of the final comprehensive report to the Ankara Metropolitan Education Directorate. All payments shall be made via bank transfer to the account of EduCounsel Ankara Ltd., registered in</w:t>
      </w:r>
      <w:r>
        <w:t xml:space="preserve"> </w:t>
      </w:r>
      <w:r>
        <w:t xml:space="preserve">Turkey Ankara</w:t>
      </w:r>
      <w:r>
        <w:t xml:space="preserve">.</w:t>
      </w:r>
    </w:p>
    <w:bookmarkEnd w:id="24"/>
    <w:bookmarkStart w:id="25" w:name="qualifications-compliance"/>
    <w:p>
      <w:pPr>
        <w:pStyle w:val="Heading2"/>
      </w:pPr>
      <w:r>
        <w:t xml:space="preserve">5. Qualifications &amp; Compliance</w:t>
      </w:r>
    </w:p>
    <w:p>
      <w:pPr>
        <w:pStyle w:val="FirstParagraph"/>
      </w:pPr>
      <w:r>
        <w:t xml:space="preserve">The</w:t>
      </w:r>
      <w:r>
        <w:t xml:space="preserve"> </w:t>
      </w:r>
      <w:r>
        <w:t xml:space="preserve">School Counselor</w:t>
      </w:r>
      <w:r>
        <w:t xml:space="preserve"> </w:t>
      </w:r>
      <w:r>
        <w:t xml:space="preserve">and Associate School Counselor assigned under this engagement hold valid licenses issued by the Turkish Psychological Association (TÜDP) and meet all MEB requirements for school-based counseling personnel in</w:t>
      </w:r>
      <w:r>
        <w:t xml:space="preserve"> </w:t>
      </w:r>
      <w:r>
        <w:t xml:space="preserve">Turkey Ankara</w:t>
      </w:r>
      <w:r>
        <w:t xml:space="preserve">. All professionals maintain a minimum of a Master's degree in Counseling Psychology or a related field, with no fewer than five years of documented experience in Turkish K-12 educational settings. Background checks, child protection clearances, and annual continuing education credits are maintained in accordance with Ankara municipal and national regulatory standards.</w:t>
      </w:r>
    </w:p>
    <w:bookmarkEnd w:id="25"/>
    <w:bookmarkStart w:id="26" w:name="validity-acceptance"/>
    <w:p>
      <w:pPr>
        <w:pStyle w:val="Heading2"/>
      </w:pPr>
      <w:r>
        <w:t xml:space="preserve">6. Validity &amp; Acceptance</w:t>
      </w:r>
    </w:p>
    <w:p>
      <w:pPr>
        <w:pStyle w:val="FirstParagraph"/>
      </w:pPr>
      <w:r>
        <w:t xml:space="preserve">This</w:t>
      </w:r>
      <w:r>
        <w:t xml:space="preserve"> </w:t>
      </w:r>
      <w:r>
        <w:t xml:space="preserve">Quotation Estimate</w:t>
      </w:r>
      <w:r>
        <w:t xml:space="preserve"> </w:t>
      </w:r>
      <w:r>
        <w:t xml:space="preserve">is valid for a period of sixty (60) calendar days from the date of issue. Upon acceptance, the recipient shall sign and return a copy of this document to EduCounsel Ankara Ltd. within the validity window. Failure to respond within the stated period shall render this estimate null and void, and a revised</w:t>
      </w:r>
      <w:r>
        <w:t xml:space="preserve"> </w:t>
      </w:r>
      <w:r>
        <w:t xml:space="preserve">Quotation Estimate</w:t>
      </w:r>
      <w:r>
        <w:t xml:space="preserve"> </w:t>
      </w:r>
      <w:r>
        <w:t xml:space="preserve">reflecting any market changes in</w:t>
      </w:r>
      <w:r>
        <w:t xml:space="preserve"> </w:t>
      </w:r>
      <w:r>
        <w:t xml:space="preserve">Turkey Ankara</w:t>
      </w:r>
      <w:r>
        <w:t xml:space="preserve"> </w:t>
      </w:r>
      <w:r>
        <w:t xml:space="preserve">shall be required.</w:t>
      </w:r>
    </w:p>
    <w:bookmarkEnd w:id="26"/>
    <w:bookmarkStart w:id="27" w:name="important-terms-conditions"/>
    <w:p>
      <w:pPr>
        <w:pStyle w:val="Heading3"/>
      </w:pPr>
      <w:r>
        <w:t xml:space="preserve">Important Terms &amp; Conditions</w:t>
      </w:r>
    </w:p>
    <w:p>
      <w:pPr>
        <w:pStyle w:val="FirstParagraph"/>
      </w:pPr>
      <w:r>
        <w:t xml:space="preserve">This Quotation Estimate does not constitute a binding contract until formally accepted in writing by both parties. All services related to the School Counselor engagement in Turkey Ankara are subject to the General Terms and Conditions of EduCounsel Ankara Ltd. and applicable Turkish commercial law. Confidentiality of all student records and counseling data is guaranteed under the Turkish Personal Data Protection Law (KVKK, Law No. 6698). Force majeure events, including but not limited to natural disasters affecting the Ankara region, may result in service modifications without penalty to either party.</w:t>
      </w:r>
    </w:p>
    <w:bookmarkEnd w:id="27"/>
    <w:p>
      <w:pPr>
        <w:pStyle w:val="BodyText"/>
      </w:pPr>
      <w:r>
        <w:rPr>
          <w:bCs/>
          <w:b/>
        </w:rPr>
        <w:t xml:space="preserve">For EduCounsel Ankara Ltd.</w:t>
      </w:r>
    </w:p>
    <w:p>
      <w:pPr>
        <w:pStyle w:val="BodyText"/>
      </w:pPr>
      <w:r>
        <w:t xml:space="preserve">Dr. Mehmet Kaya</w:t>
      </w:r>
      <w:r>
        <w:br/>
      </w:r>
      <w:r>
        <w:t xml:space="preserve">Director of Operations</w:t>
      </w:r>
      <w:r>
        <w:br/>
      </w:r>
      <w:r>
        <w:t xml:space="preserve">Date: _______________</w:t>
      </w:r>
    </w:p>
    <w:p>
      <w:pPr>
        <w:pStyle w:val="BodyText"/>
      </w:pPr>
      <w:r>
        <w:rPr>
          <w:bCs/>
          <w:b/>
        </w:rPr>
        <w:t xml:space="preserve">For Ankara Metropolitan Education Directorate</w:t>
      </w:r>
    </w:p>
    <w:p>
      <w:pPr>
        <w:pStyle w:val="BodyText"/>
      </w:pPr>
      <w:r>
        <w:t xml:space="preserve">Dr. Elif Yılmaz</w:t>
      </w:r>
      <w:r>
        <w:br/>
      </w:r>
      <w:r>
        <w:t xml:space="preserve">Procurement Officer</w:t>
      </w:r>
      <w:r>
        <w:br/>
      </w:r>
      <w:r>
        <w:t xml:space="preserve">Date: _______________</w:t>
      </w:r>
    </w:p>
    <w:p>
      <w:pPr>
        <w:pStyle w:val="BodyText"/>
      </w:pPr>
      <w:r>
        <w:t xml:space="preserve">EduCounsel Ankara Ltd. | Kızılay Mah. Atatürk Cad. No. 142, Çankaya, Ankara 06690, Turkey | Tax ID: 1234567890</w:t>
      </w:r>
    </w:p>
    <w:p>
      <w:pPr>
        <w:pStyle w:val="BodyText"/>
      </w:pPr>
      <w:r>
        <w:t xml:space="preserve">This Quotation Estimate document is generated electronically and is valid without a physical stamp.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School Counselor Services - Turkey Ankara</dc:title>
  <dc:creator/>
  <dc:language>en</dc:language>
  <cp:keywords/>
  <dcterms:created xsi:type="dcterms:W3CDTF">2026-10-10T05:48:46Z</dcterms:created>
  <dcterms:modified xsi:type="dcterms:W3CDTF">2026-10-10T05:48:46Z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