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quotation-estimate"/>
    <w:p>
      <w:pPr>
        <w:pStyle w:val="Heading1"/>
      </w:pPr>
      <w:r>
        <w:t xml:space="preserve">QUOTATION ESTIMATE</w:t>
      </w:r>
    </w:p>
    <w:bookmarkStart w:id="20" w:name="school-counselor-professional-services"/>
    <w:p>
      <w:pPr>
        <w:pStyle w:val="Heading2"/>
      </w:pPr>
      <w:r>
        <w:t xml:space="preserve">School Counselor Professional Services</w:t>
      </w:r>
    </w:p>
    <w:p>
      <w:pPr>
        <w:pStyle w:val="FirstParagraph"/>
      </w:pPr>
      <w:r>
        <w:t xml:space="preserve">United Arab Emirates — Abu Dhabi</w:t>
      </w:r>
    </w:p>
    <w:bookmarkEnd w:id="20"/>
    <w:bookmarkEnd w:id="21"/>
    <w:p>
      <w:pPr>
        <w:pStyle w:val="BodyText"/>
      </w:pPr>
      <w:r>
        <w:rPr>
          <w:bCs/>
          <w:b/>
        </w:rPr>
        <w:t xml:space="preserve">Provider:</w:t>
      </w:r>
      <w:r>
        <w:br/>
      </w:r>
      <w:r>
        <w:t xml:space="preserve">Al Noor Educational Consulting LLC</w:t>
      </w:r>
      <w:r>
        <w:br/>
      </w:r>
      <w:r>
        <w:t xml:space="preserve">Office 412, Al Reem Island Business Bay</w:t>
      </w:r>
      <w:r>
        <w:br/>
      </w:r>
      <w:r>
        <w:t xml:space="preserve">Abu Dhabi, United Arab Emirates</w:t>
      </w:r>
      <w:r>
        <w:br/>
      </w:r>
      <w:r>
        <w:t xml:space="preserve">Tel: +971-2-555-0147</w:t>
      </w:r>
      <w:r>
        <w:br/>
      </w:r>
      <w:r>
        <w:t xml:space="preserve">Email: quotes@alnoor-consulting.ae</w:t>
      </w:r>
    </w:p>
    <w:p>
      <w:pPr>
        <w:pStyle w:val="BodyText"/>
      </w:pPr>
      <w:r>
        <w:rPr>
          <w:bCs/>
          <w:b/>
        </w:rPr>
        <w:t xml:space="preserve">Quotation Reference:</w:t>
      </w:r>
      <w:r>
        <w:t xml:space="preserve"> </w:t>
      </w:r>
      <w:r>
        <w:t xml:space="preserve">QE-AD-2025-0387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[School Name / Institution]</w:t>
      </w:r>
      <w:r>
        <w:br/>
      </w:r>
      <w:r>
        <w:rPr>
          <w:bCs/>
          <w:b/>
        </w:rPr>
        <w:t xml:space="preserve">Location:</w:t>
      </w:r>
      <w:r>
        <w:t xml:space="preserve"> </w:t>
      </w:r>
      <w:r>
        <w:t xml:space="preserve">Abu Dhabi, United Arab Emirates</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 Noor Educational Consulting LLC to provide a comprehensive and transparent financial breakdown for the engagement of a qualified</w:t>
      </w:r>
      <w:r>
        <w:t xml:space="preserve"> </w:t>
      </w:r>
      <w:r>
        <w:t xml:space="preserve">School Counselor</w:t>
      </w:r>
      <w:r>
        <w:t xml:space="preserve"> </w:t>
      </w:r>
      <w:r>
        <w:t xml:space="preserve">to deliver professional student support services within the educational institutions of</w:t>
      </w:r>
      <w:r>
        <w:t xml:space="preserve"> </w:t>
      </w:r>
      <w:r>
        <w:t xml:space="preserve">United Arab Emirates Abu Dhabi</w:t>
      </w:r>
      <w:r>
        <w:t xml:space="preserve">. This document outlines the scope of services, associated costs, payment terms, and conditions governing the proposed engagement. The</w:t>
      </w:r>
      <w:r>
        <w:t xml:space="preserve"> </w:t>
      </w:r>
      <w:r>
        <w:t xml:space="preserve">School Counselor</w:t>
      </w:r>
      <w:r>
        <w:t xml:space="preserve"> </w:t>
      </w:r>
      <w:r>
        <w:t xml:space="preserve">services described herein are designed to meet the regulatory standards set by the Abu Dhabi Department of Education and Knowledge (ADEK) and to align with the broader educational welfare framework of the United Arab Emirates.</w:t>
      </w:r>
    </w:p>
    <w:bookmarkEnd w:id="22"/>
    <w:bookmarkStart w:id="23" w:name="Xbcfb4e872449f00b9ed51e3aeeac8088af3c0e8"/>
    <w:p>
      <w:pPr>
        <w:pStyle w:val="Heading3"/>
      </w:pPr>
      <w:r>
        <w:t xml:space="preserve">2. Scope of Services — School Counselor Engagement</w:t>
      </w:r>
    </w:p>
    <w:p>
      <w:pPr>
        <w:pStyle w:val="FirstParagraph"/>
      </w:pPr>
      <w:r>
        <w:t xml:space="preserve">The proposed</w:t>
      </w:r>
      <w:r>
        <w:t xml:space="preserve"> </w:t>
      </w:r>
      <w:r>
        <w:t xml:space="preserve">School Counselor</w:t>
      </w:r>
      <w:r>
        <w:t xml:space="preserve"> </w:t>
      </w:r>
      <w:r>
        <w:t xml:space="preserve">will provide the following professional services on a full-time, on-site basis at the client institution located in Abu Dhabi, United Arab Emirates:</w:t>
      </w:r>
    </w:p>
    <w:p>
      <w:pPr>
        <w:numPr>
          <w:ilvl w:val="0"/>
          <w:numId w:val="1001"/>
        </w:numPr>
        <w:pStyle w:val="Compact"/>
      </w:pPr>
      <w:r>
        <w:t xml:space="preserve">Individual and group counseling sessions for students aged 6 to 18, addressing academic, emotional, social, and behavioral concerns.</w:t>
      </w:r>
    </w:p>
    <w:p>
      <w:pPr>
        <w:numPr>
          <w:ilvl w:val="0"/>
          <w:numId w:val="1001"/>
        </w:numPr>
        <w:pStyle w:val="Compact"/>
      </w:pPr>
      <w:r>
        <w:t xml:space="preserve">Development and implementation of a comprehensive student wellness program aligned with ADEK guidelines.</w:t>
      </w:r>
    </w:p>
    <w:p>
      <w:pPr>
        <w:numPr>
          <w:ilvl w:val="0"/>
          <w:numId w:val="1001"/>
        </w:numPr>
        <w:pStyle w:val="Compact"/>
      </w:pPr>
      <w:r>
        <w:t xml:space="preserve">Crisis intervention and emergency response protocols for student mental health incidents.</w:t>
      </w:r>
    </w:p>
    <w:p>
      <w:pPr>
        <w:numPr>
          <w:ilvl w:val="0"/>
          <w:numId w:val="1001"/>
        </w:numPr>
        <w:pStyle w:val="Compact"/>
      </w:pPr>
      <w:r>
        <w:t xml:space="preserve">Parent and guardian consultation sessions, including home-visit coordination within the Abu Dhabi emirate.</w:t>
      </w:r>
    </w:p>
    <w:p>
      <w:pPr>
        <w:numPr>
          <w:ilvl w:val="0"/>
          <w:numId w:val="1001"/>
        </w:numPr>
        <w:pStyle w:val="Compact"/>
      </w:pPr>
      <w:r>
        <w:t xml:space="preserve">Collaboration with school administration, teachers, and external healthcare providers in the United Arab Emirates Abu Dhabi region.</w:t>
      </w:r>
    </w:p>
    <w:p>
      <w:pPr>
        <w:numPr>
          <w:ilvl w:val="0"/>
          <w:numId w:val="1001"/>
        </w:numPr>
        <w:pStyle w:val="Compact"/>
      </w:pPr>
      <w:r>
        <w:t xml:space="preserve">Quarterly progress reporting and annual comprehensive review of student welfare outcomes.</w:t>
      </w:r>
    </w:p>
    <w:p>
      <w:pPr>
        <w:numPr>
          <w:ilvl w:val="0"/>
          <w:numId w:val="1001"/>
        </w:numPr>
        <w:pStyle w:val="Compact"/>
      </w:pPr>
      <w:r>
        <w:t xml:space="preserve">Training workshops for teaching staff on recognizing and responding to student psychological needs.</w:t>
      </w:r>
    </w:p>
    <w:p>
      <w:pPr>
        <w:numPr>
          <w:ilvl w:val="0"/>
          <w:numId w:val="1001"/>
        </w:numPr>
        <w:pStyle w:val="Compact"/>
      </w:pPr>
      <w:r>
        <w:t xml:space="preserve">Maintenance of confidential student records in compliance with UAE data protection regulations.</w:t>
      </w:r>
    </w:p>
    <w:bookmarkEnd w:id="23"/>
    <w:bookmarkStart w:id="24" w:name="X9731a520f2df829f1d1069be7bb81379a3f65c0"/>
    <w:p>
      <w:pPr>
        <w:pStyle w:val="Heading3"/>
      </w:pPr>
      <w:r>
        <w:t xml:space="preserve">3. Financial Breakdown — Quotation Estimate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(AED)</w:t>
            </w:r>
          </w:p>
        </w:tc>
        <w:tc>
          <w:tcPr/>
          <w:p>
            <w:pPr>
              <w:pStyle w:val="Compact"/>
              <w:jc w:val="left"/>
            </w:pPr>
            <w:r>
              <w:t xml:space="preserve">Quantity</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Monthly salary of qualified School Counselor (Master's degree, ADEK-licensed)</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12</w:t>
            </w:r>
          </w:p>
        </w:tc>
        <w:tc>
          <w:tcPr/>
          <w:p>
            <w:pPr>
              <w:pStyle w:val="Compact"/>
              <w:jc w:val="left"/>
            </w:pPr>
            <w:r>
              <w:t xml:space="preserve">336,000</w:t>
            </w:r>
          </w:p>
        </w:tc>
      </w:tr>
      <w:tr>
        <w:tc>
          <w:tcPr/>
          <w:p>
            <w:pPr>
              <w:pStyle w:val="Compact"/>
              <w:jc w:val="left"/>
            </w:pPr>
            <w:r>
              <w:t xml:space="preserve">02</w:t>
            </w:r>
          </w:p>
        </w:tc>
        <w:tc>
          <w:tcPr/>
          <w:p>
            <w:pPr>
              <w:pStyle w:val="Compact"/>
              <w:jc w:val="left"/>
            </w:pPr>
            <w:r>
              <w:t xml:space="preserve">Annual professional development and ADEK compliance training</w:t>
            </w:r>
          </w:p>
        </w:tc>
        <w:tc>
          <w:tcPr/>
          <w:p>
            <w:pPr>
              <w:pStyle w:val="Compact"/>
              <w:jc w:val="left"/>
            </w:pPr>
            <w:r>
              <w:t xml:space="preserve">1 year</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Student wellness program design and implementation</w:t>
            </w:r>
          </w:p>
        </w:tc>
        <w:tc>
          <w:tcPr/>
          <w:p>
            <w:pPr>
              <w:pStyle w:val="Compact"/>
              <w:jc w:val="left"/>
            </w:pPr>
            <w:r>
              <w:t xml:space="preserve">1 year</w:t>
            </w:r>
          </w:p>
        </w:tc>
        <w:tc>
          <w:tcPr/>
          <w:p>
            <w:pPr>
              <w:pStyle w:val="Compact"/>
              <w:jc w:val="left"/>
            </w:pPr>
            <w:r>
              <w:t xml:space="preserve">18,500</w:t>
            </w:r>
          </w:p>
        </w:tc>
        <w:tc>
          <w:tcPr/>
          <w:p>
            <w:pPr>
              <w:pStyle w:val="Compact"/>
              <w:jc w:val="left"/>
            </w:pPr>
            <w:r>
              <w:t xml:space="preserve">1</w:t>
            </w:r>
          </w:p>
        </w:tc>
        <w:tc>
          <w:tcPr/>
          <w:p>
            <w:pPr>
              <w:pStyle w:val="Compact"/>
              <w:jc w:val="left"/>
            </w:pPr>
            <w:r>
              <w:t xml:space="preserve">18,500</w:t>
            </w:r>
          </w:p>
        </w:tc>
      </w:tr>
      <w:tr>
        <w:tc>
          <w:tcPr/>
          <w:p>
            <w:pPr>
              <w:pStyle w:val="Compact"/>
              <w:jc w:val="left"/>
            </w:pPr>
            <w:r>
              <w:t xml:space="preserve">04</w:t>
            </w:r>
          </w:p>
        </w:tc>
        <w:tc>
          <w:tcPr/>
          <w:p>
            <w:pPr>
              <w:pStyle w:val="Compact"/>
              <w:jc w:val="left"/>
            </w:pPr>
            <w:r>
              <w:t xml:space="preserve">Crisis intervention toolkit and emergency response setup</w:t>
            </w:r>
          </w:p>
        </w:tc>
        <w:tc>
          <w:tcPr/>
          <w:p>
            <w:pPr>
              <w:pStyle w:val="Compact"/>
              <w:jc w:val="left"/>
            </w:pPr>
            <w:r>
              <w:t xml:space="preserve">One-time</w:t>
            </w:r>
          </w:p>
        </w:tc>
        <w:tc>
          <w:tcPr/>
          <w:p>
            <w:pPr>
              <w:pStyle w:val="Compact"/>
              <w:jc w:val="left"/>
            </w:pPr>
            <w:r>
              <w:t xml:space="preserve">9,000</w:t>
            </w:r>
          </w:p>
        </w:tc>
        <w:tc>
          <w:tcPr/>
          <w:p>
            <w:pPr>
              <w:pStyle w:val="Compact"/>
              <w:jc w:val="left"/>
            </w:pPr>
            <w:r>
              <w:t xml:space="preserve">1</w:t>
            </w:r>
          </w:p>
        </w:tc>
        <w:tc>
          <w:tcPr/>
          <w:p>
            <w:pPr>
              <w:pStyle w:val="Compact"/>
              <w:jc w:val="left"/>
            </w:pPr>
            <w:r>
              <w:t xml:space="preserve">9,000</w:t>
            </w:r>
          </w:p>
        </w:tc>
      </w:tr>
      <w:tr>
        <w:tc>
          <w:tcPr/>
          <w:p>
            <w:pPr>
              <w:pStyle w:val="Compact"/>
              <w:jc w:val="left"/>
            </w:pPr>
            <w:r>
              <w:t xml:space="preserve">05</w:t>
            </w:r>
          </w:p>
        </w:tc>
        <w:tc>
          <w:tcPr/>
          <w:p>
            <w:pPr>
              <w:pStyle w:val="Compact"/>
              <w:jc w:val="left"/>
            </w:pPr>
            <w:r>
              <w:t xml:space="preserve">Parent consultation program (4 sessions per term)</w:t>
            </w:r>
          </w:p>
        </w:tc>
        <w:tc>
          <w:tcPr/>
          <w:p>
            <w:pPr>
              <w:pStyle w:val="Compact"/>
              <w:jc w:val="left"/>
            </w:pPr>
            <w:r>
              <w:t xml:space="preserve">1 year</w:t>
            </w:r>
          </w:p>
        </w:tc>
        <w:tc>
          <w:tcPr/>
          <w:p>
            <w:pPr>
              <w:pStyle w:val="Compact"/>
              <w:jc w:val="left"/>
            </w:pPr>
            <w:r>
              <w:t xml:space="preserve">7,500</w:t>
            </w:r>
          </w:p>
        </w:tc>
        <w:tc>
          <w:tcPr/>
          <w:p>
            <w:pPr>
              <w:pStyle w:val="Compact"/>
              <w:jc w:val="left"/>
            </w:pPr>
            <w:r>
              <w:t xml:space="preserve">3</w:t>
            </w:r>
          </w:p>
        </w:tc>
        <w:tc>
          <w:tcPr/>
          <w:p>
            <w:pPr>
              <w:pStyle w:val="Compact"/>
              <w:jc w:val="left"/>
            </w:pPr>
            <w:r>
              <w:t xml:space="preserve">22,500</w:t>
            </w:r>
          </w:p>
        </w:tc>
      </w:tr>
      <w:tr>
        <w:tc>
          <w:tcPr/>
          <w:p>
            <w:pPr>
              <w:pStyle w:val="Compact"/>
              <w:jc w:val="left"/>
            </w:pPr>
            <w:r>
              <w:t xml:space="preserve">06</w:t>
            </w:r>
          </w:p>
        </w:tc>
        <w:tc>
          <w:tcPr/>
          <w:p>
            <w:pPr>
              <w:pStyle w:val="Compact"/>
              <w:jc w:val="left"/>
            </w:pPr>
            <w:r>
              <w:t xml:space="preserve">Staff training workshops (2 per term)</w:t>
            </w:r>
          </w:p>
        </w:tc>
        <w:tc>
          <w:tcPr/>
          <w:p>
            <w:pPr>
              <w:pStyle w:val="Compact"/>
              <w:jc w:val="left"/>
            </w:pPr>
            <w:r>
              <w:t xml:space="preserve">1 year</w:t>
            </w:r>
          </w:p>
        </w:tc>
        <w:tc>
          <w:tcPr/>
          <w:p>
            <w:pPr>
              <w:pStyle w:val="Compact"/>
              <w:jc w:val="left"/>
            </w:pPr>
            <w:r>
              <w:t xml:space="preserve">5,000</w:t>
            </w:r>
          </w:p>
        </w:tc>
        <w:tc>
          <w:tcPr/>
          <w:p>
            <w:pPr>
              <w:pStyle w:val="Compact"/>
              <w:jc w:val="left"/>
            </w:pPr>
            <w:r>
              <w:t xml:space="preserve">6</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Confidential record management system (UAE-compliant)</w:t>
            </w:r>
          </w:p>
        </w:tc>
        <w:tc>
          <w:tcPr/>
          <w:p>
            <w:pPr>
              <w:pStyle w:val="Compact"/>
              <w:jc w:val="left"/>
            </w:pPr>
            <w:r>
              <w:t xml:space="preserve">1 year</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08</w:t>
            </w:r>
          </w:p>
        </w:tc>
        <w:tc>
          <w:tcPr/>
          <w:p>
            <w:pPr>
              <w:pStyle w:val="Compact"/>
              <w:jc w:val="left"/>
            </w:pPr>
            <w:r>
              <w:t xml:space="preserve">Quarterly reporting and annual review documentation</w:t>
            </w:r>
          </w:p>
        </w:tc>
        <w:tc>
          <w:tcPr/>
          <w:p>
            <w:pPr>
              <w:pStyle w:val="Compact"/>
              <w:jc w:val="left"/>
            </w:pPr>
            <w:r>
              <w:t xml:space="preserve">1 year</w:t>
            </w:r>
          </w:p>
        </w:tc>
        <w:tc>
          <w:tcPr/>
          <w:p>
            <w:pPr>
              <w:pStyle w:val="Compact"/>
              <w:jc w:val="left"/>
            </w:pPr>
            <w:r>
              <w:t xml:space="preserve">4,000</w:t>
            </w:r>
          </w:p>
        </w:tc>
        <w:tc>
          <w:tcPr/>
          <w:p>
            <w:pPr>
              <w:pStyle w:val="Compact"/>
              <w:jc w:val="left"/>
            </w:pPr>
            <w:r>
              <w:t xml:space="preserve">5</w:t>
            </w:r>
          </w:p>
        </w:tc>
        <w:tc>
          <w:tcPr/>
          <w:p>
            <w:pPr>
              <w:pStyle w:val="Compact"/>
              <w:jc w:val="left"/>
            </w:pPr>
            <w:r>
              <w:t xml:space="preserve">20,000</w:t>
            </w:r>
          </w:p>
        </w:tc>
      </w:tr>
      <w:tr>
        <w:tc>
          <w:tcPr>
            <w:gridSpan w:val="5"/>
          </w:tcPr>
          <w:p>
            <w:pPr>
              <w:pStyle w:val="Compact"/>
              <w:jc w:val="left"/>
            </w:pPr>
            <w:r>
              <w:t xml:space="preserve">Subtotal</w:t>
            </w:r>
          </w:p>
        </w:tc>
        <w:tc>
          <w:tcPr/>
          <w:p>
            <w:pPr>
              <w:pStyle w:val="Compact"/>
              <w:jc w:val="left"/>
            </w:pPr>
            <w:r>
              <w:t xml:space="preserve">454,500</w:t>
            </w:r>
          </w:p>
        </w:tc>
      </w:tr>
      <w:tr>
        <w:tc>
          <w:tcPr>
            <w:gridSpan w:val="5"/>
          </w:tcPr>
          <w:p>
            <w:pPr>
              <w:pStyle w:val="Compact"/>
              <w:jc w:val="left"/>
            </w:pPr>
            <w:r>
              <w:t xml:space="preserve">VAT (5% — United Arab Emirates standard rate)</w:t>
            </w:r>
          </w:p>
        </w:tc>
        <w:tc>
          <w:tcPr/>
          <w:p>
            <w:pPr>
              <w:pStyle w:val="Compact"/>
              <w:jc w:val="left"/>
            </w:pPr>
            <w:r>
              <w:t xml:space="preserve">22,725</w:t>
            </w:r>
          </w:p>
        </w:tc>
      </w:tr>
      <w:tr>
        <w:tc>
          <w:tcPr>
            <w:gridSpan w:val="5"/>
          </w:tcPr>
          <w:p>
            <w:pPr>
              <w:pStyle w:val="Compact"/>
              <w:jc w:val="left"/>
            </w:pPr>
            <w:r>
              <w:rPr>
                <w:bCs/>
                <w:b/>
              </w:rPr>
              <w:t xml:space="preserve">Grand Total (AED)</w:t>
            </w:r>
          </w:p>
        </w:tc>
        <w:tc>
          <w:tcPr/>
          <w:p>
            <w:pPr>
              <w:pStyle w:val="Compact"/>
              <w:jc w:val="left"/>
            </w:pPr>
            <w:r>
              <w:rPr>
                <w:bCs/>
                <w:b/>
              </w:rPr>
              <w:t xml:space="preserve">477,225</w:t>
            </w:r>
          </w:p>
        </w:tc>
      </w:tr>
    </w:tbl>
    <w:bookmarkEnd w:id="24"/>
    <w:bookmarkStart w:id="25" w:name="payment-terms"/>
    <w:p>
      <w:pPr>
        <w:pStyle w:val="Heading3"/>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quarterly installments, due within 30 days of the invoice date. The first installment is due upon contract execution. All payments shall be made in United Arab Emirates Dirhams (AED) via bank transfer to the account designated by Al Noor Educational Consulting LLC. Late payments shall incur a penalty of 2% per month as per UAE commercial law.</w:t>
      </w:r>
    </w:p>
    <w:bookmarkEnd w:id="25"/>
    <w:bookmarkStart w:id="26"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Beyond this period, pricing may be subject to revision based on market conditions in Abu Dhabi, United Arab Emirates.</w:t>
      </w:r>
    </w:p>
    <w:p>
      <w:pPr>
        <w:numPr>
          <w:ilvl w:val="0"/>
          <w:numId w:val="1002"/>
        </w:numPr>
        <w:pStyle w:val="Compact"/>
      </w:pPr>
      <w:r>
        <w:t xml:space="preserve">The</w:t>
      </w:r>
      <w:r>
        <w:t xml:space="preserve"> </w:t>
      </w:r>
      <w:r>
        <w:t xml:space="preserve">School Counselor</w:t>
      </w:r>
      <w:r>
        <w:t xml:space="preserve"> </w:t>
      </w:r>
      <w:r>
        <w:t xml:space="preserve">engaged under this agreement must hold a valid ADEK professional license and a Master's degree in Counseling Psychology or a related field from an accredited institution.</w:t>
      </w:r>
    </w:p>
    <w:p>
      <w:pPr>
        <w:numPr>
          <w:ilvl w:val="0"/>
          <w:numId w:val="1002"/>
        </w:numPr>
        <w:pStyle w:val="Compact"/>
      </w:pPr>
      <w:r>
        <w:t xml:space="preserve">All services shall be delivered in compliance with the Federal Decree-Law No. 45 of 2021 on the Protection of Personal Data in the United Arab Emirates.</w:t>
      </w:r>
    </w:p>
    <w:p>
      <w:pPr>
        <w:numPr>
          <w:ilvl w:val="0"/>
          <w:numId w:val="1002"/>
        </w:numPr>
        <w:pStyle w:val="Compact"/>
      </w:pPr>
      <w:r>
        <w:t xml:space="preserve">The client institution must provide a dedicated, private counseling room within the school premises in Abu Dhabi, United Arab Emirates, equipped with appropriate furniture and privacy provisions.</w:t>
      </w:r>
    </w:p>
    <w:p>
      <w:pPr>
        <w:numPr>
          <w:ilvl w:val="0"/>
          <w:numId w:val="1002"/>
        </w:numPr>
        <w:pStyle w:val="Compact"/>
      </w:pPr>
      <w:r>
        <w:t xml:space="preserve">Either party may terminate the agreement with 60 days' written notice. In the event of early termination, a pro-rata adjustment shall be applied to the remaining balance.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w:t>
      </w:r>
    </w:p>
    <w:p>
      <w:pPr>
        <w:numPr>
          <w:ilvl w:val="0"/>
          <w:numId w:val="1002"/>
        </w:numPr>
        <w:pStyle w:val="Compact"/>
      </w:pPr>
      <w:r>
        <w:t xml:space="preserve">All disputes arising from this engagement shall be resolved through arbitration in Abu Dhabi, United Arab Emirates, in accordance with the UAE Arbitration Law.</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described herein for the engagement of the</w:t>
      </w:r>
      <w:r>
        <w:t xml:space="preserve"> </w:t>
      </w:r>
      <w:r>
        <w:t xml:space="preserve">School Counselor</w:t>
      </w:r>
      <w:r>
        <w:t xml:space="preserve"> </w:t>
      </w:r>
      <w:r>
        <w:t xml:space="preserve">services in Abu Dhabi, United Arab Emirates.</w:t>
      </w:r>
    </w:p>
    <w:p>
      <w:pPr>
        <w:pStyle w:val="BodyText"/>
      </w:pPr>
      <w:r>
        <w:t xml:space="preserve">Authorized Signatory — Client Institution</w:t>
      </w:r>
      <w:r>
        <w:br/>
      </w:r>
      <w:r>
        <w:t xml:space="preserve">Name / Title / Date</w:t>
      </w:r>
    </w:p>
    <w:p>
      <w:pPr>
        <w:pStyle w:val="BodyText"/>
      </w:pPr>
      <w:r>
        <w:t xml:space="preserve">Authorized Signatory — Al Noor Educational Consulting LLC</w:t>
      </w:r>
      <w:r>
        <w:br/>
      </w:r>
      <w:r>
        <w:t xml:space="preserve">Name / Title / Date</w:t>
      </w:r>
    </w:p>
    <w:p>
      <w:pPr>
        <w:pStyle w:val="BodyText"/>
      </w:pPr>
      <w:r>
        <w:t xml:space="preserve">Al Noor Educational Consulting LLC — Trade License No. AD-2019-44872 — Abu Dhabi, United Arab Emirates</w:t>
      </w:r>
    </w:p>
    <w:p>
      <w:pPr>
        <w:pStyle w:val="BodyText"/>
      </w:pPr>
      <w:r>
        <w:t xml:space="preserve">This Quotation Estimate document is confidential and intended solely for the named recipient. Unauthorized distribution is prohibited.</w:t>
      </w:r>
    </w:p>
    <w:p>
      <w:pPr>
        <w:pStyle w:val="BodyText"/>
      </w:pPr>
      <w:r>
        <w:t xml:space="preserve">Document Reference: QE-AD-2025-0387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United Arab Emirates Abu Dhabi</dc:title>
  <dc:creator/>
  <dc:language>en</dc:language>
  <cp:keywords/>
  <dcterms:created xsi:type="dcterms:W3CDTF">2026-10-10T09:23:01Z</dcterms:created>
  <dcterms:modified xsi:type="dcterms:W3CDTF">2026-10-10T09:23:01Z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