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Uzbekistan</w:t>
      </w:r>
      <w:r>
        <w:t xml:space="preserve"> </w:t>
      </w:r>
      <w:r>
        <w:t xml:space="preserve">Tashkent</w:t>
      </w:r>
    </w:p>
    <w:bookmarkStart w:id="20" w:name="eduwell-counseling-development-llp"/>
    <w:p>
      <w:pPr>
        <w:pStyle w:val="Heading1"/>
      </w:pPr>
      <w:r>
        <w:t xml:space="preserve">EDUWELL COUNSELING &amp; DEVELOPMENT LLP</w:t>
      </w:r>
    </w:p>
    <w:p>
      <w:pPr>
        <w:pStyle w:val="FirstParagraph"/>
      </w:pPr>
      <w:r>
        <w:t xml:space="preserve">12 Amir Temur Avenue, Tashkent, 100084, Uzbekistan</w:t>
      </w:r>
    </w:p>
    <w:p>
      <w:pPr>
        <w:pStyle w:val="BodyText"/>
      </w:pPr>
      <w:r>
        <w:t xml:space="preserve">Tel: +998 (71) 200-45-67 | Email: info@eduwell-uz.com | Reg. No: UZ-2024-08731</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QE-2025-0412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Tashkent City Education Department</w:t>
      </w:r>
    </w:p>
    <w:bookmarkEnd w:id="21"/>
    <w:bookmarkStart w:id="22" w:name="client-information"/>
    <w:p>
      <w:pPr>
        <w:pStyle w:val="Heading3"/>
      </w:pPr>
      <w:r>
        <w:t xml:space="preserve">Client Information</w:t>
      </w:r>
    </w:p>
    <w:p>
      <w:pPr>
        <w:pStyle w:val="FirstParagraph"/>
      </w:pPr>
      <w:r>
        <w:rPr>
          <w:bCs/>
          <w:b/>
        </w:rPr>
        <w:t xml:space="preserve">Organization:</w:t>
      </w:r>
      <w:r>
        <w:t xml:space="preserve"> </w:t>
      </w:r>
      <w:r>
        <w:t xml:space="preserve">Tashkent City Education Department</w:t>
      </w:r>
    </w:p>
    <w:p>
      <w:pPr>
        <w:pStyle w:val="BodyText"/>
      </w:pPr>
      <w:r>
        <w:rPr>
          <w:bCs/>
          <w:b/>
        </w:rPr>
        <w:t xml:space="preserve">Address:</w:t>
      </w:r>
      <w:r>
        <w:t xml:space="preserve"> </w:t>
      </w:r>
      <w:r>
        <w:t xml:space="preserve">45 Navoi Street, Tashkent, Uzbekistan</w:t>
      </w:r>
    </w:p>
    <w:p>
      <w:pPr>
        <w:pStyle w:val="BodyText"/>
      </w:pPr>
      <w:r>
        <w:rPr>
          <w:bCs/>
          <w:b/>
        </w:rPr>
        <w:t xml:space="preserve">Contact Person:</w:t>
      </w:r>
      <w:r>
        <w:t xml:space="preserve"> </w:t>
      </w:r>
      <w:r>
        <w:t xml:space="preserve">Dr. Gulnara Karimova</w:t>
      </w:r>
    </w:p>
    <w:p>
      <w:pPr>
        <w:pStyle w:val="BodyText"/>
      </w:pPr>
      <w:r>
        <w:rPr>
          <w:bCs/>
          <w:b/>
        </w:rPr>
        <w:t xml:space="preserve">Position:</w:t>
      </w:r>
      <w:r>
        <w:t xml:space="preserve"> </w:t>
      </w:r>
      <w:r>
        <w:t xml:space="preserve">Director of Student Welfare</w:t>
      </w:r>
    </w:p>
    <w:bookmarkEnd w:id="22"/>
    <w:p>
      <w:pPr>
        <w:pStyle w:val="BodyText"/>
      </w:pPr>
      <w:r>
        <w:t xml:space="preserve">This</w:t>
      </w:r>
      <w:r>
        <w:t xml:space="preserve"> </w:t>
      </w:r>
      <w:r>
        <w:t xml:space="preserve">Quotation Estimate</w:t>
      </w:r>
      <w:r>
        <w:t xml:space="preserve"> </w:t>
      </w:r>
      <w:r>
        <w:t xml:space="preserve">is formally issued by EduWell Counseling &amp; Development LLP to provide a comprehensive and transparent financial breakdown for the engagement of a qualified</w:t>
      </w:r>
      <w:r>
        <w:t xml:space="preserve"> </w:t>
      </w:r>
      <w:r>
        <w:t xml:space="preserve">School Counselor</w:t>
      </w:r>
      <w:r>
        <w:t xml:space="preserve"> </w:t>
      </w:r>
      <w:r>
        <w:t xml:space="preserve">to deliver student support services across selected public and private educational institutions in</w:t>
      </w:r>
      <w:r>
        <w:t xml:space="preserve"> </w:t>
      </w:r>
      <w:r>
        <w:t xml:space="preserve">Uzbekistan Tashkent</w:t>
      </w:r>
      <w:r>
        <w:t xml:space="preserve">. This document outlines the full scope of professional services, associated costs, delivery timelines, and contractual terms governing the proposed engagement. All pricing is presented in Uzbek Som (UZS) with USD equivalents provided for reference purposes.</w:t>
      </w:r>
    </w:p>
    <w:p>
      <w:pPr>
        <w:pStyle w:val="BodyText"/>
      </w:pPr>
      <w:r>
        <w:t xml:space="preserve">1. Scope of Services – School Counselor Engagement</w:t>
      </w:r>
    </w:p>
    <w:p>
      <w:pPr>
        <w:pStyle w:val="BodyText"/>
      </w:pPr>
      <w:r>
        <w:t xml:space="preserve">The proposed</w:t>
      </w:r>
      <w:r>
        <w:t xml:space="preserve"> </w:t>
      </w:r>
      <w:r>
        <w:t xml:space="preserve">School Counselor</w:t>
      </w:r>
      <w:r>
        <w:t xml:space="preserve"> </w:t>
      </w:r>
      <w:r>
        <w:t xml:space="preserve">will be a certified mental health professional with a minimum of five years of experience in adolescent and child psychology, holding a valid license issued by the Ministry of Health of the Republic of Uzbekistan. The</w:t>
      </w:r>
      <w:r>
        <w:t xml:space="preserve"> </w:t>
      </w:r>
      <w:r>
        <w:t xml:space="preserve">School Counselor</w:t>
      </w:r>
      <w:r>
        <w:t xml:space="preserve"> </w:t>
      </w:r>
      <w:r>
        <w:t xml:space="preserve">will be deployed across twelve (12) partner schools in the Chilonzor, Yakkasaroy, and Mirzo Ulugbek districts of</w:t>
      </w:r>
      <w:r>
        <w:t xml:space="preserve"> </w:t>
      </w:r>
      <w:r>
        <w:t xml:space="preserve">Uzbekistan Tashkent</w:t>
      </w:r>
      <w:r>
        <w:t xml:space="preserve">, providing individual and group counseling sessions, academic guidance, conflict mediation, crisis intervention, and parent-teacher coordination services. The role encompasses both in-person sessions at school premises and remote follow-up consultations via approved digital platforms.</w:t>
      </w:r>
    </w:p>
    <w:p>
      <w:pPr>
        <w:pStyle w:val="BodyText"/>
      </w:pPr>
      <w:r>
        <w:t xml:space="preserve">2.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Cost (UZS)</w:t>
            </w:r>
          </w:p>
        </w:tc>
        <w:tc>
          <w:tcPr/>
          <w:p>
            <w:pPr>
              <w:pStyle w:val="Compact"/>
              <w:jc w:val="left"/>
            </w:pPr>
            <w:r>
              <w:t xml:space="preserve">Total (UZS)</w:t>
            </w:r>
          </w:p>
        </w:tc>
      </w:tr>
      <w:tr>
        <w:tc>
          <w:tcPr/>
          <w:p>
            <w:pPr>
              <w:pStyle w:val="Compact"/>
              <w:jc w:val="left"/>
            </w:pPr>
            <w:r>
              <w:t xml:space="preserve">1</w:t>
            </w:r>
          </w:p>
        </w:tc>
        <w:tc>
          <w:tcPr/>
          <w:p>
            <w:pPr>
              <w:pStyle w:val="Compact"/>
              <w:jc w:val="left"/>
            </w:pPr>
            <w:r>
              <w:t xml:space="preserve">Monthly salary of the School Counselor (certified psychologist, 40 hrs/week)</w:t>
            </w:r>
          </w:p>
        </w:tc>
        <w:tc>
          <w:tcPr/>
          <w:p>
            <w:pPr>
              <w:pStyle w:val="Compact"/>
              <w:jc w:val="left"/>
            </w:pPr>
            <w:r>
              <w:t xml:space="preserve">12 months</w:t>
            </w:r>
          </w:p>
        </w:tc>
        <w:tc>
          <w:tcPr/>
          <w:p>
            <w:pPr>
              <w:pStyle w:val="Compact"/>
              <w:jc w:val="left"/>
            </w:pPr>
            <w:r>
              <w:t xml:space="preserve">18,500,000</w:t>
            </w:r>
          </w:p>
        </w:tc>
        <w:tc>
          <w:tcPr/>
          <w:p>
            <w:pPr>
              <w:pStyle w:val="Compact"/>
              <w:jc w:val="left"/>
            </w:pPr>
            <w:r>
              <w:t xml:space="preserve">222,000,000</w:t>
            </w:r>
          </w:p>
        </w:tc>
      </w:tr>
      <w:tr>
        <w:tc>
          <w:tcPr/>
          <w:p>
            <w:pPr>
              <w:pStyle w:val="Compact"/>
              <w:jc w:val="left"/>
            </w:pPr>
            <w:r>
              <w:t xml:space="preserve">2</w:t>
            </w:r>
          </w:p>
        </w:tc>
        <w:tc>
          <w:tcPr/>
          <w:p>
            <w:pPr>
              <w:pStyle w:val="Compact"/>
              <w:jc w:val="left"/>
            </w:pPr>
            <w:r>
              <w:t xml:space="preserve">Professional liability insurance and mandatory health coverage for the School Counselor</w:t>
            </w:r>
          </w:p>
        </w:tc>
        <w:tc>
          <w:tcPr/>
          <w:p>
            <w:pPr>
              <w:pStyle w:val="Compact"/>
              <w:jc w:val="left"/>
            </w:pPr>
            <w:r>
              <w:t xml:space="preserve">12 months</w:t>
            </w:r>
          </w:p>
        </w:tc>
        <w:tc>
          <w:tcPr/>
          <w:p>
            <w:pPr>
              <w:pStyle w:val="Compact"/>
              <w:jc w:val="left"/>
            </w:pPr>
            <w:r>
              <w:t xml:space="preserve">2,400,000</w:t>
            </w:r>
          </w:p>
        </w:tc>
        <w:tc>
          <w:tcPr/>
          <w:p>
            <w:pPr>
              <w:pStyle w:val="Compact"/>
              <w:jc w:val="left"/>
            </w:pPr>
            <w:r>
              <w:t xml:space="preserve">28,800,000</w:t>
            </w:r>
          </w:p>
        </w:tc>
      </w:tr>
      <w:tr>
        <w:tc>
          <w:tcPr/>
          <w:p>
            <w:pPr>
              <w:pStyle w:val="Compact"/>
              <w:jc w:val="left"/>
            </w:pPr>
            <w:r>
              <w:t xml:space="preserve">3</w:t>
            </w:r>
          </w:p>
        </w:tc>
        <w:tc>
          <w:tcPr/>
          <w:p>
            <w:pPr>
              <w:pStyle w:val="Compact"/>
              <w:jc w:val="left"/>
            </w:pPr>
            <w:r>
              <w:t xml:space="preserve">Initial assessment and onboarding program (psychological screening tools, intake forms, school orientation)</w:t>
            </w:r>
          </w:p>
        </w:tc>
        <w:tc>
          <w:tcPr/>
          <w:p>
            <w:pPr>
              <w:pStyle w:val="Compact"/>
              <w:jc w:val="left"/>
            </w:pPr>
            <w:r>
              <w:t xml:space="preserve">One-time</w:t>
            </w:r>
          </w:p>
        </w:tc>
        <w:tc>
          <w:tcPr/>
          <w:p>
            <w:pPr>
              <w:pStyle w:val="Compact"/>
              <w:jc w:val="left"/>
            </w:pPr>
            <w:r>
              <w:t xml:space="preserve">8,750,000</w:t>
            </w:r>
          </w:p>
        </w:tc>
        <w:tc>
          <w:tcPr/>
          <w:p>
            <w:pPr>
              <w:pStyle w:val="Compact"/>
              <w:jc w:val="left"/>
            </w:pPr>
            <w:r>
              <w:t xml:space="preserve">8,750,000</w:t>
            </w:r>
          </w:p>
        </w:tc>
      </w:tr>
      <w:tr>
        <w:tc>
          <w:tcPr/>
          <w:p>
            <w:pPr>
              <w:pStyle w:val="Compact"/>
              <w:jc w:val="left"/>
            </w:pPr>
            <w:r>
              <w:t xml:space="preserve">4</w:t>
            </w:r>
          </w:p>
        </w:tc>
        <w:tc>
          <w:tcPr/>
          <w:p>
            <w:pPr>
              <w:pStyle w:val="Compact"/>
              <w:jc w:val="left"/>
            </w:pPr>
            <w:r>
              <w:t xml:space="preserve">Group counseling workshops (12 sessions per school, 20 students per group)</w:t>
            </w:r>
          </w:p>
        </w:tc>
        <w:tc>
          <w:tcPr/>
          <w:p>
            <w:pPr>
              <w:pStyle w:val="Compact"/>
              <w:jc w:val="left"/>
            </w:pPr>
            <w:r>
              <w:t xml:space="preserve">144 sessions</w:t>
            </w:r>
          </w:p>
        </w:tc>
        <w:tc>
          <w:tcPr/>
          <w:p>
            <w:pPr>
              <w:pStyle w:val="Compact"/>
              <w:jc w:val="left"/>
            </w:pPr>
            <w:r>
              <w:t xml:space="preserve">1,200,000</w:t>
            </w:r>
          </w:p>
        </w:tc>
        <w:tc>
          <w:tcPr/>
          <w:p>
            <w:pPr>
              <w:pStyle w:val="Compact"/>
              <w:jc w:val="left"/>
            </w:pPr>
            <w:r>
              <w:t xml:space="preserve">172,800,000</w:t>
            </w:r>
          </w:p>
        </w:tc>
      </w:tr>
      <w:tr>
        <w:tc>
          <w:tcPr/>
          <w:p>
            <w:pPr>
              <w:pStyle w:val="Compact"/>
              <w:jc w:val="left"/>
            </w:pPr>
            <w:r>
              <w:t xml:space="preserve">5</w:t>
            </w:r>
          </w:p>
        </w:tc>
        <w:tc>
          <w:tcPr/>
          <w:p>
            <w:pPr>
              <w:pStyle w:val="Compact"/>
              <w:jc w:val="left"/>
            </w:pPr>
            <w:r>
              <w:t xml:space="preserve">Individual one-on-one counseling sessions (estimated 300 sessions across all schools)</w:t>
            </w:r>
          </w:p>
        </w:tc>
        <w:tc>
          <w:tcPr/>
          <w:p>
            <w:pPr>
              <w:pStyle w:val="Compact"/>
              <w:jc w:val="left"/>
            </w:pPr>
            <w:r>
              <w:t xml:space="preserve">300 sessions</w:t>
            </w:r>
          </w:p>
        </w:tc>
        <w:tc>
          <w:tcPr/>
          <w:p>
            <w:pPr>
              <w:pStyle w:val="Compact"/>
              <w:jc w:val="left"/>
            </w:pPr>
            <w:r>
              <w:t xml:space="preserve">450,000</w:t>
            </w:r>
          </w:p>
        </w:tc>
        <w:tc>
          <w:tcPr/>
          <w:p>
            <w:pPr>
              <w:pStyle w:val="Compact"/>
              <w:jc w:val="left"/>
            </w:pPr>
            <w:r>
              <w:t xml:space="preserve">135,000,000</w:t>
            </w:r>
          </w:p>
        </w:tc>
      </w:tr>
      <w:tr>
        <w:tc>
          <w:tcPr/>
          <w:p>
            <w:pPr>
              <w:pStyle w:val="Compact"/>
              <w:jc w:val="left"/>
            </w:pPr>
            <w:r>
              <w:t xml:space="preserve">6</w:t>
            </w:r>
          </w:p>
        </w:tc>
        <w:tc>
          <w:tcPr/>
          <w:p>
            <w:pPr>
              <w:pStyle w:val="Compact"/>
              <w:jc w:val="left"/>
            </w:pPr>
            <w:r>
              <w:t xml:space="preserve">Parent and teacher training seminars (4 workshops per term, 3 terms)</w:t>
            </w:r>
          </w:p>
        </w:tc>
        <w:tc>
          <w:tcPr/>
          <w:p>
            <w:pPr>
              <w:pStyle w:val="Compact"/>
              <w:jc w:val="left"/>
            </w:pPr>
            <w:r>
              <w:t xml:space="preserve">12 workshops</w:t>
            </w:r>
          </w:p>
        </w:tc>
        <w:tc>
          <w:tcPr/>
          <w:p>
            <w:pPr>
              <w:pStyle w:val="Compact"/>
              <w:jc w:val="left"/>
            </w:pPr>
            <w:r>
              <w:t xml:space="preserve">3,500,000</w:t>
            </w:r>
          </w:p>
        </w:tc>
        <w:tc>
          <w:tcPr/>
          <w:p>
            <w:pPr>
              <w:pStyle w:val="Compact"/>
              <w:jc w:val="left"/>
            </w:pPr>
            <w:r>
              <w:t xml:space="preserve">42,000,000</w:t>
            </w:r>
          </w:p>
        </w:tc>
      </w:tr>
      <w:tr>
        <w:tc>
          <w:tcPr/>
          <w:p>
            <w:pPr>
              <w:pStyle w:val="Compact"/>
              <w:jc w:val="left"/>
            </w:pPr>
            <w:r>
              <w:t xml:space="preserve">7</w:t>
            </w:r>
          </w:p>
        </w:tc>
        <w:tc>
          <w:tcPr/>
          <w:p>
            <w:pPr>
              <w:pStyle w:val="Compact"/>
              <w:jc w:val="left"/>
            </w:pPr>
            <w:r>
              <w:t xml:space="preserve">Crisis intervention and emergency response protocol setup</w:t>
            </w:r>
          </w:p>
        </w:tc>
        <w:tc>
          <w:tcPr/>
          <w:p>
            <w:pPr>
              <w:pStyle w:val="Compact"/>
              <w:jc w:val="left"/>
            </w:pPr>
            <w:r>
              <w:t xml:space="preserve">One-time</w:t>
            </w:r>
          </w:p>
        </w:tc>
        <w:tc>
          <w:tcPr/>
          <w:p>
            <w:pPr>
              <w:pStyle w:val="Compact"/>
              <w:jc w:val="left"/>
            </w:pPr>
            <w:r>
              <w:t xml:space="preserve">5,200,000</w:t>
            </w:r>
          </w:p>
        </w:tc>
        <w:tc>
          <w:tcPr/>
          <w:p>
            <w:pPr>
              <w:pStyle w:val="Compact"/>
              <w:jc w:val="left"/>
            </w:pPr>
            <w:r>
              <w:t xml:space="preserve">5,200,000</w:t>
            </w:r>
          </w:p>
        </w:tc>
      </w:tr>
      <w:tr>
        <w:tc>
          <w:tcPr/>
          <w:p>
            <w:pPr>
              <w:pStyle w:val="Compact"/>
              <w:jc w:val="left"/>
            </w:pPr>
            <w:r>
              <w:t xml:space="preserve">8</w:t>
            </w:r>
          </w:p>
        </w:tc>
        <w:tc>
          <w:tcPr/>
          <w:p>
            <w:pPr>
              <w:pStyle w:val="Compact"/>
              <w:jc w:val="left"/>
            </w:pPr>
            <w:r>
              <w:t xml:space="preserve">Monthly progress reports, data analytics, and performance documentation</w:t>
            </w:r>
          </w:p>
        </w:tc>
        <w:tc>
          <w:tcPr/>
          <w:p>
            <w:pPr>
              <w:pStyle w:val="Compact"/>
              <w:jc w:val="left"/>
            </w:pPr>
            <w:r>
              <w:t xml:space="preserve">12 months</w:t>
            </w:r>
          </w:p>
        </w:tc>
        <w:tc>
          <w:tcPr/>
          <w:p>
            <w:pPr>
              <w:pStyle w:val="Compact"/>
              <w:jc w:val="left"/>
            </w:pPr>
            <w:r>
              <w:t xml:space="preserve">1,800,000</w:t>
            </w:r>
          </w:p>
        </w:tc>
        <w:tc>
          <w:tcPr/>
          <w:p>
            <w:pPr>
              <w:pStyle w:val="Compact"/>
              <w:jc w:val="left"/>
            </w:pPr>
            <w:r>
              <w:t xml:space="preserve">21,600,000</w:t>
            </w:r>
          </w:p>
        </w:tc>
      </w:tr>
      <w:tr>
        <w:tc>
          <w:tcPr/>
          <w:p>
            <w:pPr>
              <w:pStyle w:val="Compact"/>
              <w:jc w:val="left"/>
            </w:pPr>
            <w:r>
              <w:t xml:space="preserve">9</w:t>
            </w:r>
          </w:p>
        </w:tc>
        <w:tc>
          <w:tcPr/>
          <w:p>
            <w:pPr>
              <w:pStyle w:val="Compact"/>
              <w:jc w:val="left"/>
            </w:pPr>
            <w:r>
              <w:t xml:space="preserve">Administrative overhead, office supplies, and secure record-keeping systems</w:t>
            </w:r>
          </w:p>
        </w:tc>
        <w:tc>
          <w:tcPr/>
          <w:p>
            <w:pPr>
              <w:pStyle w:val="Compact"/>
              <w:jc w:val="left"/>
            </w:pPr>
            <w:r>
              <w:t xml:space="preserve">12 months</w:t>
            </w:r>
          </w:p>
        </w:tc>
        <w:tc>
          <w:tcPr/>
          <w:p>
            <w:pPr>
              <w:pStyle w:val="Compact"/>
              <w:jc w:val="left"/>
            </w:pPr>
            <w:r>
              <w:t xml:space="preserve">2,100,000</w:t>
            </w:r>
          </w:p>
        </w:tc>
        <w:tc>
          <w:tcPr/>
          <w:p>
            <w:pPr>
              <w:pStyle w:val="Compact"/>
              <w:jc w:val="left"/>
            </w:pPr>
            <w:r>
              <w:t xml:space="preserve">25,200,000</w:t>
            </w:r>
          </w:p>
        </w:tc>
      </w:tr>
      <w:tr>
        <w:tc>
          <w:tcPr/>
          <w:p>
            <w:pPr>
              <w:pStyle w:val="Compact"/>
              <w:jc w:val="left"/>
            </w:pPr>
            <w:r>
              <w:t xml:space="preserve">10</w:t>
            </w:r>
          </w:p>
        </w:tc>
        <w:tc>
          <w:tcPr/>
          <w:p>
            <w:pPr>
              <w:pStyle w:val="Compact"/>
              <w:jc w:val="left"/>
            </w:pPr>
            <w:r>
              <w:t xml:space="preserve">Travel and transportation allowance within Tashkent city limits</w:t>
            </w:r>
          </w:p>
        </w:tc>
        <w:tc>
          <w:tcPr/>
          <w:p>
            <w:pPr>
              <w:pStyle w:val="Compact"/>
              <w:jc w:val="left"/>
            </w:pPr>
            <w:r>
              <w:t xml:space="preserve">12 months</w:t>
            </w:r>
          </w:p>
        </w:tc>
        <w:tc>
          <w:tcPr/>
          <w:p>
            <w:pPr>
              <w:pStyle w:val="Compact"/>
              <w:jc w:val="left"/>
            </w:pPr>
            <w:r>
              <w:t xml:space="preserve">950,000</w:t>
            </w:r>
          </w:p>
        </w:tc>
        <w:tc>
          <w:tcPr/>
          <w:p>
            <w:pPr>
              <w:pStyle w:val="Compact"/>
              <w:jc w:val="left"/>
            </w:pPr>
            <w:r>
              <w:t xml:space="preserve">11,400,000</w:t>
            </w:r>
          </w:p>
        </w:tc>
      </w:tr>
      <w:tr>
        <w:tc>
          <w:tcPr>
            <w:gridSpan w:val="4"/>
          </w:tcPr>
          <w:p>
            <w:pPr>
              <w:pStyle w:val="Compact"/>
              <w:jc w:val="left"/>
            </w:pPr>
            <w:r>
              <w:t xml:space="preserve">GRAND TOTAL (VAT 12% included)</w:t>
            </w:r>
          </w:p>
        </w:tc>
        <w:tc>
          <w:tcPr/>
          <w:p>
            <w:pPr>
              <w:pStyle w:val="Compact"/>
              <w:jc w:val="left"/>
            </w:pPr>
            <w:r>
              <w:t xml:space="preserve">672,750,000 UZS</w:t>
            </w:r>
          </w:p>
        </w:tc>
      </w:tr>
      <w:tr>
        <w:tc>
          <w:tcPr>
            <w:gridSpan w:val="4"/>
          </w:tcPr>
          <w:p>
            <w:pPr>
              <w:pStyle w:val="Compact"/>
              <w:jc w:val="right"/>
            </w:pPr>
            <w:r>
              <w:t xml:space="preserve">USD Equivalent (at 1 USD = 12,800 UZS)</w:t>
            </w:r>
          </w:p>
        </w:tc>
        <w:tc>
          <w:tcPr/>
          <w:p>
            <w:pPr>
              <w:pStyle w:val="Compact"/>
              <w:jc w:val="left"/>
            </w:pPr>
            <w:r>
              <w:t xml:space="preserve">≈ 52,558.59 USD</w:t>
            </w:r>
          </w:p>
        </w:tc>
      </w:tr>
    </w:tbl>
    <w:p>
      <w:pPr>
        <w:pStyle w:val="BodyText"/>
      </w:pPr>
      <w:r>
        <w:t xml:space="preserve">3. Delivery Timeline and Milestones</w:t>
      </w:r>
    </w:p>
    <w:p>
      <w:pPr>
        <w:pStyle w:val="BodyText"/>
      </w:pPr>
      <w:r>
        <w:t xml:space="preserve">The</w:t>
      </w:r>
      <w:r>
        <w:t xml:space="preserve"> </w:t>
      </w:r>
      <w:r>
        <w:t xml:space="preserve">School Counselor</w:t>
      </w:r>
      <w:r>
        <w:t xml:space="preserve"> </w:t>
      </w:r>
      <w:r>
        <w:t xml:space="preserve">engagement is structured over a twelve-month period commencing on 1 September 2025 and concluding on 31 August 2026, aligned with the academic calendar in</w:t>
      </w:r>
      <w:r>
        <w:t xml:space="preserve"> </w:t>
      </w:r>
      <w:r>
        <w:t xml:space="preserve">Uzbekistan Tashkent</w:t>
      </w:r>
      <w:r>
        <w:t xml:space="preserve">. Key milestones include: onboarding and initial student assessments by 15 September 2025; first group workshop cycle completed by 30 November 2025; mid-year progress review in January 2026; and final comprehensive report submission by 15 August 2026. The</w:t>
      </w:r>
      <w:r>
        <w:t xml:space="preserve"> </w:t>
      </w:r>
      <w:r>
        <w:t xml:space="preserve">Quotation Estimate</w:t>
      </w:r>
      <w:r>
        <w:t xml:space="preserve"> </w:t>
      </w:r>
      <w:r>
        <w:t xml:space="preserve">assumes full institutional cooperation from all twelve partner schools to ensure uninterrupted service delivery.</w:t>
      </w:r>
    </w:p>
    <w:p>
      <w:pPr>
        <w:pStyle w:val="BodyText"/>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subject to revision based on market conditions in</w:t>
      </w:r>
      <w:r>
        <w:t xml:space="preserve"> </w:t>
      </w:r>
      <w:r>
        <w:t xml:space="preserve">Uzbekistan Tashkent</w:t>
      </w:r>
      <w:r>
        <w:t xml:space="preserve">.</w:t>
      </w:r>
    </w:p>
    <w:p>
      <w:pPr>
        <w:numPr>
          <w:ilvl w:val="0"/>
          <w:numId w:val="1001"/>
        </w:numPr>
        <w:pStyle w:val="Compact"/>
      </w:pPr>
      <w:r>
        <w:t xml:space="preserve">Payment terms: 30% advance payment upon contract signing, 40% upon completion of the first six months, and 30% upon final acceptance of the end-of-year report.</w:t>
      </w:r>
    </w:p>
    <w:p>
      <w:pPr>
        <w:numPr>
          <w:ilvl w:val="0"/>
          <w:numId w:val="1001"/>
        </w:numPr>
        <w:pStyle w:val="Compact"/>
      </w:pPr>
      <w:r>
        <w:t xml:space="preserve">All payments shall be made in Uzbek Som (UZS) via bank transfer to the account designated by EduWell Counseling &amp; Development LLP.</w:t>
      </w:r>
    </w:p>
    <w:p>
      <w:pPr>
        <w:numPr>
          <w:ilvl w:val="0"/>
          <w:numId w:val="1001"/>
        </w:numPr>
        <w:pStyle w:val="Compact"/>
      </w:pPr>
      <w:r>
        <w:t xml:space="preserve">The</w:t>
      </w:r>
      <w:r>
        <w:t xml:space="preserve"> </w:t>
      </w:r>
      <w:r>
        <w:t xml:space="preserve">School Counselor</w:t>
      </w:r>
      <w:r>
        <w:t xml:space="preserve"> </w:t>
      </w:r>
      <w:r>
        <w:t xml:space="preserve">is bound by strict confidentiality protocols in compliance with the Law of the Republic of Uzbekistan on Personal Data Protection (2019) and relevant Ministry of Education directives.</w:t>
      </w:r>
    </w:p>
    <w:p>
      <w:pPr>
        <w:numPr>
          <w:ilvl w:val="0"/>
          <w:numId w:val="1001"/>
        </w:numPr>
        <w:pStyle w:val="Compact"/>
      </w:pPr>
      <w:r>
        <w:t xml:space="preserve">Either party may terminate the agreement with thirty (30) days written notice. In the event of early termination, a pro-rata adjustment will be applied to the remaining balance.</w:t>
      </w:r>
    </w:p>
    <w:p>
      <w:pPr>
        <w:numPr>
          <w:ilvl w:val="0"/>
          <w:numId w:val="1001"/>
        </w:numPr>
        <w:pStyle w:val="Compact"/>
      </w:pPr>
      <w:r>
        <w:t xml:space="preserve">Force majeure events, including but not limited to natural disasters, public health emergencies, or government-mandated school closures in</w:t>
      </w:r>
      <w:r>
        <w:t xml:space="preserve"> </w:t>
      </w:r>
      <w:r>
        <w:t xml:space="preserve">Uzbekistan Tashkent</w:t>
      </w:r>
      <w:r>
        <w:t xml:space="preserve">, shall suspend obligations without penalty for a maximum of sixty (60) days.</w:t>
      </w:r>
    </w:p>
    <w:p>
      <w:pPr>
        <w:numPr>
          <w:ilvl w:val="0"/>
          <w:numId w:val="1001"/>
        </w:numPr>
        <w:pStyle w:val="Compact"/>
      </w:pPr>
      <w:r>
        <w:t xml:space="preserve">All intellectual property, session notes, and student records generated during the engagement remain the property of the Tashkent City Education Department.</w:t>
      </w:r>
    </w:p>
    <w:p>
      <w:pPr>
        <w:numPr>
          <w:ilvl w:val="0"/>
          <w:numId w:val="1001"/>
        </w:numPr>
        <w:pStyle w:val="Compact"/>
      </w:pPr>
      <w:r>
        <w:t xml:space="preserve">Disputes arising from this</w:t>
      </w:r>
      <w:r>
        <w:t xml:space="preserve"> </w:t>
      </w:r>
      <w:r>
        <w:t xml:space="preserve">Quotation Estimate</w:t>
      </w:r>
      <w:r>
        <w:t xml:space="preserve"> </w:t>
      </w:r>
      <w:r>
        <w:t xml:space="preserve">or the resulting contract shall be resolved through mediation in Tashkent, Uzbekistan, in accordance with the Civil Code of the Republic of Uzbekistan.</w:t>
      </w:r>
    </w:p>
    <w:p>
      <w:pPr>
        <w:pStyle w:val="FirstParagraph"/>
      </w:pPr>
      <w:r>
        <w:t xml:space="preserve">5.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outlined herein for the engagement of the</w:t>
      </w:r>
      <w:r>
        <w:t xml:space="preserve"> </w:t>
      </w:r>
      <w:r>
        <w:t xml:space="preserve">School Counselor</w:t>
      </w:r>
      <w:r>
        <w:t xml:space="preserve"> </w:t>
      </w:r>
      <w:r>
        <w:t xml:space="preserve">in</w:t>
      </w:r>
      <w:r>
        <w:t xml:space="preserve"> </w:t>
      </w:r>
      <w:r>
        <w:t xml:space="preserve">Uzbekistan Tashkent</w:t>
      </w:r>
      <w:r>
        <w:t xml:space="preserve">. This document, once countersigned by both parties, constitutes a binding preliminary agreement pending execution of the full service contract.</w:t>
      </w:r>
    </w:p>
    <w:p>
      <w:pPr>
        <w:pStyle w:val="BodyText"/>
      </w:pPr>
      <w:r>
        <w:rPr>
          <w:bCs/>
          <w:b/>
        </w:rPr>
        <w:t xml:space="preserve">For EduWell Counseling &amp; Development LLP</w:t>
      </w:r>
    </w:p>
    <w:p>
      <w:pPr>
        <w:pStyle w:val="BodyText"/>
      </w:pPr>
      <w:r>
        <w:t xml:space="preserve">Name: _________________________</w:t>
      </w:r>
    </w:p>
    <w:p>
      <w:pPr>
        <w:pStyle w:val="BodyText"/>
      </w:pPr>
      <w:r>
        <w:t xml:space="preserve">Title: Managing Director</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Tashkent City Education Department</w:t>
      </w:r>
    </w:p>
    <w:p>
      <w:pPr>
        <w:pStyle w:val="BodyText"/>
      </w:pPr>
      <w:r>
        <w:t xml:space="preserve">Name: _________________________</w:t>
      </w:r>
    </w:p>
    <w:p>
      <w:pPr>
        <w:pStyle w:val="BodyText"/>
      </w:pPr>
      <w:r>
        <w:t xml:space="preserve">Title: Director of Student Welfare</w:t>
      </w:r>
    </w:p>
    <w:p>
      <w:pPr>
        <w:pStyle w:val="BodyText"/>
      </w:pPr>
      <w:r>
        <w:t xml:space="preserve">Signature: _________________________</w:t>
      </w:r>
    </w:p>
    <w:p>
      <w:pPr>
        <w:pStyle w:val="BodyText"/>
      </w:pPr>
      <w:r>
        <w:t xml:space="preserve">Date: _________________________</w:t>
      </w:r>
    </w:p>
    <w:p>
      <w:pPr>
        <w:pStyle w:val="BodyText"/>
      </w:pPr>
      <w:r>
        <w:t xml:space="preserve">Quotation Estimate No. QE-2025-0412 | EduWell Counseling &amp; Development LLP | Tashkent, Uzbekistan</w:t>
      </w:r>
    </w:p>
    <w:p>
      <w:pPr>
        <w:pStyle w:val="BodyText"/>
      </w:pPr>
      <w:r>
        <w:t xml:space="preserve">This document is confidential and intended solely for the named recipient. Unauthorized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School Counselor Services - Uzbekistan Tashkent</dc:title>
  <dc:creator/>
  <dc:language>en</dc:language>
  <cp:keywords/>
  <dcterms:created xsi:type="dcterms:W3CDTF">2026-10-10T08:48:43Z</dcterms:created>
  <dcterms:modified xsi:type="dcterms:W3CDTF">2026-10-10T08:48:43Z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