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Xa13c0a78bc30af9d5af7e716d987d402f58c02d"/>
    <w:p>
      <w:pPr>
        <w:pStyle w:val="Heading1"/>
      </w:pPr>
      <w:r>
        <w:t xml:space="preserve">Cairo Social Services &amp; Community Development Co.</w:t>
      </w:r>
    </w:p>
    <w:p>
      <w:pPr>
        <w:pStyle w:val="FirstParagraph"/>
      </w:pPr>
      <w:r>
        <w:t xml:space="preserve">12 Tahrir Square, Downtown, Cairo, Egypt 11511</w:t>
      </w:r>
    </w:p>
    <w:p>
      <w:pPr>
        <w:pStyle w:val="BodyText"/>
      </w:pPr>
      <w:r>
        <w:t xml:space="preserve">Tel: +20 2 2578 4432 | Email: info@cairosocialservices.com.eg</w:t>
      </w:r>
    </w:p>
    <w:p>
      <w:pPr>
        <w:pStyle w:val="BodyText"/>
      </w:pPr>
      <w:r>
        <w:t xml:space="preserve">Commercial Registration No. 482910 | Tax ID: 552-881-334</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QTE-2025-CAIRO-0472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Egyptian Pound (EGP)</w:t>
            </w:r>
          </w:p>
        </w:tc>
      </w:tr>
    </w:tbl>
    <w:bookmarkStart w:id="21" w:name="prepared-for-client"/>
    <w:p>
      <w:pPr>
        <w:pStyle w:val="Heading3"/>
      </w:pPr>
      <w:r>
        <w:t xml:space="preserve">Prepared For (Client)</w:t>
      </w:r>
    </w:p>
    <w:p>
      <w:pPr>
        <w:pStyle w:val="FirstParagraph"/>
      </w:pPr>
      <w:r>
        <w:rPr>
          <w:bCs/>
          <w:b/>
        </w:rPr>
        <w:t xml:space="preserve">Name:</w:t>
      </w:r>
      <w:r>
        <w:t xml:space="preserve"> </w:t>
      </w:r>
      <w:r>
        <w:t xml:space="preserve">Al-Nile Community Health &amp; Welfare Foundation</w:t>
      </w:r>
    </w:p>
    <w:p>
      <w:pPr>
        <w:pStyle w:val="BodyText"/>
      </w:pPr>
      <w:r>
        <w:rPr>
          <w:bCs/>
          <w:b/>
        </w:rPr>
        <w:t xml:space="preserve">Address:</w:t>
      </w:r>
      <w:r>
        <w:t xml:space="preserve"> </w:t>
      </w:r>
      <w:r>
        <w:t xml:space="preserve">45 El-Maadi Road, Maadi District, Cairo, Egypt</w:t>
      </w:r>
    </w:p>
    <w:p>
      <w:pPr>
        <w:pStyle w:val="BodyText"/>
      </w:pPr>
      <w:r>
        <w:rPr>
          <w:bCs/>
          <w:b/>
        </w:rPr>
        <w:t xml:space="preserve">Contact Person:</w:t>
      </w:r>
      <w:r>
        <w:t xml:space="preserve"> </w:t>
      </w:r>
      <w:r>
        <w:t xml:space="preserve">Dr. Hana El-Sayed, Program Director</w:t>
      </w:r>
    </w:p>
    <w:p>
      <w:pPr>
        <w:pStyle w:val="BodyText"/>
      </w:pPr>
      <w:r>
        <w:rPr>
          <w:bCs/>
          <w:b/>
        </w:rPr>
        <w:t xml:space="preserve">Email:</w:t>
      </w:r>
      <w:r>
        <w:t xml:space="preserve"> </w:t>
      </w:r>
      <w:r>
        <w:t xml:space="preserve">hana.elsayed@alnilefoundation.org</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Cairo Social Services &amp; Community Development Co.</w:t>
      </w:r>
    </w:p>
    <w:p>
      <w:pPr>
        <w:pStyle w:val="BodyText"/>
      </w:pPr>
      <w:r>
        <w:rPr>
          <w:bCs/>
          <w:b/>
        </w:rPr>
        <w:t xml:space="preserve">Address:</w:t>
      </w:r>
      <w:r>
        <w:t xml:space="preserve"> </w:t>
      </w:r>
      <w:r>
        <w:t xml:space="preserve">12 Tahrir Square, Downtown, Cairo, Egypt</w:t>
      </w:r>
    </w:p>
    <w:p>
      <w:pPr>
        <w:pStyle w:val="BodyText"/>
      </w:pPr>
      <w:r>
        <w:rPr>
          <w:bCs/>
          <w:b/>
        </w:rPr>
        <w:t xml:space="preserve">Contact Person:</w:t>
      </w:r>
      <w:r>
        <w:t xml:space="preserve"> </w:t>
      </w:r>
      <w:r>
        <w:t xml:space="preserve">Mr. Karim Mostafa, Business Development Manager</w:t>
      </w:r>
    </w:p>
    <w:p>
      <w:pPr>
        <w:pStyle w:val="BodyText"/>
      </w:pPr>
      <w:r>
        <w:rPr>
          <w:bCs/>
          <w:b/>
        </w:rPr>
        <w:t xml:space="preserve">Email:</w:t>
      </w:r>
      <w:r>
        <w:t xml:space="preserve"> </w:t>
      </w:r>
      <w:r>
        <w:t xml:space="preserve">k.mostafa@cairosocialservices.com.eg</w:t>
      </w:r>
    </w:p>
    <w:bookmarkEnd w:id="22"/>
    <w:p>
      <w:pPr>
        <w:pStyle w:val="BodyText"/>
      </w:pPr>
      <w:r>
        <w:t xml:space="preserve">1. Scope of Services – Social Worker Engagement in Egypt Cairo</w:t>
      </w:r>
    </w:p>
    <w:p>
      <w:pPr>
        <w:pStyle w:val="BodyText"/>
      </w:pPr>
      <w:r>
        <w:t xml:space="preserve">This</w:t>
      </w:r>
      <w:r>
        <w:t xml:space="preserve"> </w:t>
      </w:r>
      <w:r>
        <w:t xml:space="preserve">Quotation Estimate</w:t>
      </w:r>
      <w:r>
        <w:t xml:space="preserve"> </w:t>
      </w:r>
      <w:r>
        <w:t xml:space="preserve">is issued by Cairo Social Services &amp; Community Development Co. to provide a comprehensive and itemized cost breakdown for the deployment and management of a qualified</w:t>
      </w:r>
      <w:r>
        <w:t xml:space="preserve"> </w:t>
      </w:r>
      <w:r>
        <w:t xml:space="preserve">Social Worker</w:t>
      </w:r>
      <w:r>
        <w:t xml:space="preserve"> </w:t>
      </w:r>
      <w:r>
        <w:t xml:space="preserve">to support the Al-Nile Community Health &amp; Welfare Foundation in the Greater</w:t>
      </w:r>
      <w:r>
        <w:t xml:space="preserve"> </w:t>
      </w:r>
      <w:r>
        <w:t xml:space="preserve">Egypt Cairo</w:t>
      </w:r>
      <w:r>
        <w:t xml:space="preserve"> </w:t>
      </w:r>
      <w:r>
        <w:t xml:space="preserve">metropolitan area. The Social Worker will be engaged on a full-time basis for a period of twelve (12) months, commencing on 1 September 2025, to deliver community-based social work interventions, case management, family counseling, and vulnerable population support across multiple districts of Egypt Cairo, including Maadi, Dokki, Nasr City, and Shubra El-Kheima.</w:t>
      </w:r>
    </w:p>
    <w:p>
      <w:pPr>
        <w:pStyle w:val="BodyText"/>
      </w:pPr>
      <w:r>
        <w:t xml:space="preserve">The Social Worker assigned to this engagement holds a Bachelor's degree in Social Work from Cairo University's Faculty of Social Work and Social Welfare, possesses a valid professional license issued by the Egyptian Ministry of Social Solidarity, and has a minimum of five (5) years of field experience in urban community development within Egypt Cairo. The Social Worker will operate under the direct supervision of the Foundation's Program Director while adhering to the ethical code of practice established by the Egyptian Social Work Association.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salary and statutory benefits for the Social Worker (including social insurance contributions as mandated by Egyptian labor law)</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Professional supervision and case consultation sessions (bi-weekly, 2 hours per session, conducted by a senior Social Worker supervisor)</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Bi-weekly</w:t>
            </w:r>
          </w:p>
        </w:tc>
      </w:tr>
      <w:tr>
        <w:tc>
          <w:tcPr/>
          <w:p>
            <w:pPr>
              <w:pStyle w:val="Compact"/>
              <w:jc w:val="left"/>
            </w:pPr>
            <w:r>
              <w:t xml:space="preserve">3</w:t>
            </w:r>
          </w:p>
        </w:tc>
        <w:tc>
          <w:tcPr/>
          <w:p>
            <w:pPr>
              <w:pStyle w:val="Compact"/>
              <w:jc w:val="left"/>
            </w:pPr>
            <w:r>
              <w:t xml:space="preserve">Community outreach and field visits across Egypt Cairo districts (transportation, per diem, and field supplies)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Family counseling and psychosocial support sessions (group and individual, up to 40 sessions per month)</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Case management and documentation system (software license, printing, and data management for client files)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Professional development and continuing education for the Social Worker (workshops, conferences, and training in Egypt Cairo)</w:t>
            </w:r>
          </w:p>
        </w:tc>
        <w:tc>
          <w:tcPr/>
          <w:p>
            <w:pPr>
              <w:pStyle w:val="Compact"/>
              <w:jc w:val="left"/>
            </w:pPr>
            <w:r>
              <w:t xml:space="preserve">4 events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Quarterly</w:t>
            </w:r>
          </w:p>
        </w:tc>
      </w:tr>
      <w:tr>
        <w:tc>
          <w:tcPr/>
          <w:p>
            <w:pPr>
              <w:pStyle w:val="Compact"/>
              <w:jc w:val="left"/>
            </w:pPr>
            <w:r>
              <w:t xml:space="preserve">7</w:t>
            </w:r>
          </w:p>
        </w:tc>
        <w:tc>
          <w:tcPr/>
          <w:p>
            <w:pPr>
              <w:pStyle w:val="Compact"/>
              <w:jc w:val="left"/>
            </w:pPr>
            <w:r>
              <w:t xml:space="preserve">Administrative overhead and project coordination (office space allocation, utilities, and administrative support staff)</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Monthly progress reporting and quarterly evaluation reports to the Foundation and relevant Egypt Cairo government authorities</w:t>
            </w:r>
          </w:p>
        </w:tc>
        <w:tc>
          <w:tcPr/>
          <w:p>
            <w:pPr>
              <w:pStyle w:val="Compact"/>
              <w:jc w:val="left"/>
            </w:pPr>
            <w:r>
              <w:t xml:space="preserve">15 reports</w:t>
            </w:r>
          </w:p>
        </w:tc>
        <w:tc>
          <w:tcPr/>
          <w:p>
            <w:pPr>
              <w:pStyle w:val="Compact"/>
              <w:jc w:val="left"/>
            </w:pPr>
            <w:r>
              <w:t xml:space="preserve">1,500.00</w:t>
            </w:r>
          </w:p>
        </w:tc>
        <w:tc>
          <w:tcPr/>
          <w:p>
            <w:pPr>
              <w:pStyle w:val="Compact"/>
              <w:jc w:val="left"/>
            </w:pPr>
            <w:r>
              <w:t xml:space="preserve">22,500.00</w:t>
            </w:r>
          </w:p>
        </w:tc>
        <w:tc>
          <w:tcPr/>
          <w:p>
            <w:pPr>
              <w:pStyle w:val="Compact"/>
              <w:jc w:val="left"/>
            </w:pPr>
            <w:r>
              <w:t xml:space="preserve">Monthly/Quarterly</w:t>
            </w:r>
          </w:p>
        </w:tc>
      </w:tr>
      <w:tr>
        <w:tc>
          <w:tcPr>
            <w:gridSpan w:val="4"/>
          </w:tcPr>
          <w:p>
            <w:pPr>
              <w:pStyle w:val="Compact"/>
              <w:jc w:val="right"/>
            </w:pPr>
            <w:r>
              <w:t xml:space="preserve">SUBTOTAL</w:t>
            </w:r>
          </w:p>
        </w:tc>
        <w:tc>
          <w:tcPr/>
          <w:p>
            <w:pPr>
              <w:pStyle w:val="Compact"/>
              <w:jc w:val="left"/>
            </w:pPr>
            <w:r>
              <w:t xml:space="preserve">511,700.00</w:t>
            </w:r>
          </w:p>
        </w:tc>
        <w:tc>
          <w:tcPr/>
          <w:p>
            <w:pPr>
              <w:pStyle w:val="Compact"/>
            </w:pPr>
          </w:p>
        </w:tc>
      </w:tr>
      <w:tr>
        <w:tc>
          <w:tcPr>
            <w:gridSpan w:val="4"/>
          </w:tcPr>
          <w:p>
            <w:pPr>
              <w:pStyle w:val="Compact"/>
              <w:jc w:val="right"/>
            </w:pPr>
            <w:r>
              <w:t xml:space="preserve">VAT (14% as per Egyptian tax regulations)</w:t>
            </w:r>
          </w:p>
        </w:tc>
        <w:tc>
          <w:tcPr/>
          <w:p>
            <w:pPr>
              <w:pStyle w:val="Compact"/>
              <w:jc w:val="left"/>
            </w:pPr>
            <w:r>
              <w:t xml:space="preserve">71,638.00</w:t>
            </w:r>
          </w:p>
        </w:tc>
        <w:tc>
          <w:tcPr/>
          <w:p>
            <w:pPr>
              <w:pStyle w:val="Compact"/>
            </w:pPr>
          </w:p>
        </w:tc>
      </w:tr>
      <w:tr>
        <w:tc>
          <w:tcPr>
            <w:gridSpan w:val="4"/>
          </w:tcPr>
          <w:p>
            <w:pPr>
              <w:pStyle w:val="Compact"/>
              <w:jc w:val="right"/>
            </w:pPr>
            <w:r>
              <w:t xml:space="preserve">GRAND TOTAL (EGP)</w:t>
            </w:r>
          </w:p>
        </w:tc>
        <w:tc>
          <w:tcPr/>
          <w:p>
            <w:pPr>
              <w:pStyle w:val="Compact"/>
              <w:jc w:val="left"/>
            </w:pPr>
            <w:r>
              <w:t xml:space="preserve">583,338.00</w:t>
            </w:r>
          </w:p>
        </w:tc>
        <w:tc>
          <w:tcPr/>
          <w:p>
            <w:pPr>
              <w:pStyle w:val="Compact"/>
            </w:pPr>
          </w:p>
        </w:tc>
      </w:tr>
    </w:tbl>
    <w:p>
      <w:pPr>
        <w:pStyle w:val="BodyText"/>
      </w:pPr>
      <w:r>
        <w:t xml:space="preserve">3. Payment Terms and Schedule</w:t>
      </w:r>
    </w:p>
    <w:p>
      <w:pPr>
        <w:pStyle w:val="BodyText"/>
      </w:pPr>
      <w:r>
        <w:t xml:space="preserve">This</w:t>
      </w:r>
      <w:r>
        <w:t xml:space="preserve"> </w:t>
      </w:r>
      <w:r>
        <w:t xml:space="preserve">Quotation Estimate</w:t>
      </w:r>
      <w:r>
        <w:t xml:space="preserve"> </w:t>
      </w:r>
      <w:r>
        <w:t xml:space="preserve">stipulates that payment for the Social Worker engagement shall be made in quarterly installments, with each installment due within fifteen (15) business days of the invoice date.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(EGP)</w:t>
            </w:r>
          </w:p>
        </w:tc>
        <w:tc>
          <w:tcPr/>
          <w:p>
            <w:pPr>
              <w:pStyle w:val="Compact"/>
              <w:jc w:val="left"/>
            </w:pPr>
            <w:r>
              <w:t xml:space="preserve">Notes</w:t>
            </w:r>
          </w:p>
        </w:tc>
      </w:tr>
      <w:tr>
        <w:tc>
          <w:tcPr/>
          <w:p>
            <w:pPr>
              <w:pStyle w:val="Compact"/>
              <w:jc w:val="left"/>
            </w:pPr>
            <w:r>
              <w:t xml:space="preserve">1st (Advance)</w:t>
            </w:r>
          </w:p>
        </w:tc>
        <w:tc>
          <w:tcPr/>
          <w:p>
            <w:pPr>
              <w:pStyle w:val="Compact"/>
              <w:jc w:val="left"/>
            </w:pPr>
            <w:r>
              <w:t xml:space="preserve">1 September 2025</w:t>
            </w:r>
          </w:p>
        </w:tc>
        <w:tc>
          <w:tcPr/>
          <w:p>
            <w:pPr>
              <w:pStyle w:val="Compact"/>
              <w:jc w:val="left"/>
            </w:pPr>
            <w:r>
              <w:t xml:space="preserve">145,834.50</w:t>
            </w:r>
          </w:p>
        </w:tc>
        <w:tc>
          <w:tcPr/>
          <w:p>
            <w:pPr>
              <w:pStyle w:val="Compact"/>
              <w:jc w:val="left"/>
            </w:pPr>
            <w:r>
              <w:t xml:space="preserve">25% of Grand Total, payable upon contract signing</w:t>
            </w:r>
          </w:p>
        </w:tc>
      </w:tr>
      <w:tr>
        <w:tc>
          <w:tcPr/>
          <w:p>
            <w:pPr>
              <w:pStyle w:val="Compact"/>
              <w:jc w:val="left"/>
            </w:pPr>
            <w:r>
              <w:t xml:space="preserve">2nd</w:t>
            </w:r>
          </w:p>
        </w:tc>
        <w:tc>
          <w:tcPr/>
          <w:p>
            <w:pPr>
              <w:pStyle w:val="Compact"/>
              <w:jc w:val="left"/>
            </w:pPr>
            <w:r>
              <w:t xml:space="preserve">1 December 2025</w:t>
            </w:r>
          </w:p>
        </w:tc>
        <w:tc>
          <w:tcPr/>
          <w:p>
            <w:pPr>
              <w:pStyle w:val="Compact"/>
              <w:jc w:val="left"/>
            </w:pPr>
            <w:r>
              <w:t xml:space="preserve">145,834.50</w:t>
            </w:r>
          </w:p>
        </w:tc>
        <w:tc>
          <w:tcPr/>
          <w:p>
            <w:pPr>
              <w:pStyle w:val="Compact"/>
              <w:jc w:val="left"/>
            </w:pPr>
            <w:r>
              <w:t xml:space="preserve">Upon submission of Q1 progress report</w:t>
            </w:r>
          </w:p>
        </w:tc>
      </w:tr>
      <w:tr>
        <w:tc>
          <w:tcPr/>
          <w:p>
            <w:pPr>
              <w:pStyle w:val="Compact"/>
              <w:jc w:val="left"/>
            </w:pPr>
            <w:r>
              <w:t xml:space="preserve">3rd</w:t>
            </w:r>
          </w:p>
        </w:tc>
        <w:tc>
          <w:tcPr/>
          <w:p>
            <w:pPr>
              <w:pStyle w:val="Compact"/>
              <w:jc w:val="left"/>
            </w:pPr>
            <w:r>
              <w:t xml:space="preserve">1 March 2026</w:t>
            </w:r>
          </w:p>
        </w:tc>
        <w:tc>
          <w:tcPr/>
          <w:p>
            <w:pPr>
              <w:pStyle w:val="Compact"/>
              <w:jc w:val="left"/>
            </w:pPr>
            <w:r>
              <w:t xml:space="preserve">145,834.50</w:t>
            </w:r>
          </w:p>
        </w:tc>
        <w:tc>
          <w:tcPr/>
          <w:p>
            <w:pPr>
              <w:pStyle w:val="Compact"/>
              <w:jc w:val="left"/>
            </w:pPr>
            <w:r>
              <w:t xml:space="preserve">Upon submission of Q2 progress report</w:t>
            </w:r>
          </w:p>
        </w:tc>
      </w:tr>
      <w:tr>
        <w:tc>
          <w:tcPr/>
          <w:p>
            <w:pPr>
              <w:pStyle w:val="Compact"/>
              <w:jc w:val="left"/>
            </w:pPr>
            <w:r>
              <w:t xml:space="preserve">4th (Final)</w:t>
            </w:r>
          </w:p>
        </w:tc>
        <w:tc>
          <w:tcPr/>
          <w:p>
            <w:pPr>
              <w:pStyle w:val="Compact"/>
              <w:jc w:val="left"/>
            </w:pPr>
            <w:r>
              <w:t xml:space="preserve">1 June 2026</w:t>
            </w:r>
          </w:p>
        </w:tc>
        <w:tc>
          <w:tcPr/>
          <w:p>
            <w:pPr>
              <w:pStyle w:val="Compact"/>
              <w:jc w:val="left"/>
            </w:pPr>
            <w:r>
              <w:t xml:space="preserve">145,834.50</w:t>
            </w:r>
          </w:p>
        </w:tc>
        <w:tc>
          <w:tcPr/>
          <w:p>
            <w:pPr>
              <w:pStyle w:val="Compact"/>
              <w:jc w:val="left"/>
            </w:pPr>
            <w:r>
              <w:t xml:space="preserve">Upon submission of Q3 report and final evaluation</w:t>
            </w:r>
          </w:p>
        </w:tc>
      </w:tr>
    </w:tbl>
    <w:p>
      <w:pPr>
        <w:pStyle w:val="BodyText"/>
      </w:pPr>
      <w:r>
        <w:t xml:space="preserve">All payments shall be made via bank transfer to the account of Cairo Social Services &amp; Community Development Co. at National Bank of Egypt, Cairo Main Branch, Account No. 0045-8821-3376-001. Late payments shall incur a penalty of 1.5% per month as per Egyptian commercial law.</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economic conditions in Egypt Cairo.</w:t>
      </w:r>
    </w:p>
    <w:p>
      <w:pPr>
        <w:numPr>
          <w:ilvl w:val="0"/>
          <w:numId w:val="1001"/>
        </w:numPr>
        <w:pStyle w:val="Compact"/>
      </w:pPr>
      <w:r>
        <w:t xml:space="preserve">The Social Worker shall comply with all applicable Egyptian labor laws, the Social Solidarity Law No. 19 of 2019, and the professional ethical standards of the Egyptian Social Work Association.</w:t>
      </w:r>
    </w:p>
    <w:p>
      <w:pPr>
        <w:numPr>
          <w:ilvl w:val="0"/>
          <w:numId w:val="1001"/>
        </w:numPr>
        <w:pStyle w:val="Compact"/>
      </w:pPr>
      <w:r>
        <w:t xml:space="preserve">The Social Worker shall maintain strict confidentiality of all client information in accordance with Egyptian data protection regulations and the Foundation's internal privacy policies.</w:t>
      </w:r>
    </w:p>
    <w:p>
      <w:pPr>
        <w:numPr>
          <w:ilvl w:val="0"/>
          <w:numId w:val="1001"/>
        </w:numPr>
        <w:pStyle w:val="Compact"/>
      </w:pPr>
      <w:r>
        <w:t xml:space="preserve">Either party may terminate the engagement with a written notice of thirty (30) days. In the event of early termination, the Social Worker's salary and accrued benefits shall be paid pro-rata up to the termination date.</w:t>
      </w:r>
    </w:p>
    <w:p>
      <w:pPr>
        <w:numPr>
          <w:ilvl w:val="0"/>
          <w:numId w:val="1001"/>
        </w:numPr>
        <w:pStyle w:val="Compact"/>
      </w:pPr>
      <w:r>
        <w:t xml:space="preserve">The Social Worker shall be available for a minimum of 45 working hours per week, Monday through Friday, with the option of Saturday morning availability for emergency community interventions in Egypt Cairo.</w:t>
      </w:r>
    </w:p>
    <w:p>
      <w:pPr>
        <w:numPr>
          <w:ilvl w:val="0"/>
          <w:numId w:val="1001"/>
        </w:numPr>
        <w:pStyle w:val="Compact"/>
      </w:pPr>
      <w:r>
        <w:t xml:space="preserve">All deliverables, including case reports, counseling session summaries, and community assessment documents, shall be submitted in both Arabic and English to accommodate the Foundation's reporting requirements to international donors.</w:t>
      </w:r>
    </w:p>
    <w:p>
      <w:pPr>
        <w:numPr>
          <w:ilvl w:val="0"/>
          <w:numId w:val="1001"/>
        </w:numPr>
        <w:pStyle w:val="Compact"/>
      </w:pPr>
      <w:r>
        <w:t xml:space="preserve">This Quotation Estimate does not constitute a binding contract until both parties have executed the formal Service Agreement. The terms herein serve as a preliminary financial and operational framework.</w:t>
      </w:r>
    </w:p>
    <w:p>
      <w:pPr>
        <w:numPr>
          <w:ilvl w:val="0"/>
          <w:numId w:val="1001"/>
        </w:numPr>
        <w:pStyle w:val="Compact"/>
      </w:pPr>
      <w:r>
        <w:t xml:space="preserve">Any disputes arising from this engagement shall be resolved through amicable negotiation, failing which they shall be referred to the competent courts in Cairo, Egypt, in accordance with Egyptian civil and commercial law.</w:t>
      </w:r>
    </w:p>
    <w:p>
      <w:pPr>
        <w:pStyle w:val="FirstParagraph"/>
      </w:pPr>
      <w:r>
        <w:t xml:space="preserve">5. Acceptance and Authorization</w:t>
      </w:r>
    </w:p>
    <w:p>
      <w:pPr>
        <w:pStyle w:val="BodyText"/>
      </w:pPr>
      <w:r>
        <w:t xml:space="preserve">By signing below, both parties acknowledge that they have read, understood, and agree to the terms and conditions outlined in this</w:t>
      </w:r>
      <w:r>
        <w:t xml:space="preserve"> </w:t>
      </w:r>
      <w:r>
        <w:t xml:space="preserve">Quotation Estimate</w:t>
      </w:r>
      <w:r>
        <w:t xml:space="preserve"> </w:t>
      </w:r>
      <w:r>
        <w:t xml:space="preserve">for the Social Worker services to be delivered in Egypt Cairo.</w:t>
      </w:r>
    </w:p>
    <w:p>
      <w:pPr>
        <w:pStyle w:val="BodyText"/>
      </w:pPr>
      <w:r>
        <w:rPr>
          <w:bCs/>
          <w:b/>
        </w:rPr>
        <w:t xml:space="preserve">For: Cairo Social Services &amp; Community Development Co.</w:t>
      </w:r>
    </w:p>
    <w:p>
      <w:pPr>
        <w:pStyle w:val="BodyText"/>
      </w:pPr>
      <w:r>
        <w:t xml:space="preserve">Name: Karim Mostafa</w:t>
      </w:r>
    </w:p>
    <w:p>
      <w:pPr>
        <w:pStyle w:val="BodyText"/>
      </w:pPr>
      <w:r>
        <w:t xml:space="preserve">Title: Business Development Manager</w:t>
      </w:r>
    </w:p>
    <w:p>
      <w:pPr>
        <w:pStyle w:val="BodyText"/>
      </w:pPr>
      <w:r>
        <w:t xml:space="preserve">Signature &amp; Company Stamp</w:t>
      </w:r>
    </w:p>
    <w:p>
      <w:pPr>
        <w:pStyle w:val="BodyText"/>
      </w:pPr>
      <w:r>
        <w:t xml:space="preserve">Date: _______________</w:t>
      </w:r>
    </w:p>
    <w:p>
      <w:pPr>
        <w:pStyle w:val="BodyText"/>
      </w:pPr>
      <w:r>
        <w:rPr>
          <w:bCs/>
          <w:b/>
        </w:rPr>
        <w:t xml:space="preserve">For: Al-Nile Community Health &amp; Welfare Foundation</w:t>
      </w:r>
    </w:p>
    <w:p>
      <w:pPr>
        <w:pStyle w:val="BodyText"/>
      </w:pPr>
      <w:r>
        <w:t xml:space="preserve">Name: Dr. Hana El-Sayed</w:t>
      </w:r>
    </w:p>
    <w:p>
      <w:pPr>
        <w:pStyle w:val="BodyText"/>
      </w:pPr>
      <w:r>
        <w:t xml:space="preserve">Title: Program Director</w:t>
      </w:r>
    </w:p>
    <w:p>
      <w:pPr>
        <w:pStyle w:val="BodyText"/>
      </w:pPr>
      <w:r>
        <w:t xml:space="preserve">Signature &amp; Foundation Stamp</w:t>
      </w:r>
    </w:p>
    <w:p>
      <w:pPr>
        <w:pStyle w:val="BodyText"/>
      </w:pPr>
      <w:r>
        <w:t xml:space="preserve">Date: _______________</w:t>
      </w:r>
    </w:p>
    <w:p>
      <w:pPr>
        <w:pStyle w:val="BodyText"/>
      </w:pPr>
      <w:r>
        <w:t xml:space="preserve">This Quotation Estimate (Ref: QTE-2025-CAIRO-0472) is the property of Cairo Social Services &amp; Community Development Co. and is issued exclusively for the Al-Nile Community Health &amp; Welfare Foundation. Unauthorized reproduction or distribution is prohibited. All services described herein are to be performed within the administrative boundaries of Egypt Cairo, including its governorate and surrounding urban districts.</w:t>
      </w:r>
    </w:p>
    <w:p>
      <w:pPr>
        <w:pStyle w:val="BodyText"/>
      </w:pPr>
      <w:r>
        <w:t xml:space="preserve">© 2025 Cairo Social Services &amp; Community Development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Egypt Cairo</dc:title>
  <dc:creator/>
  <dc:language>en</dc:language>
  <cp:keywords/>
  <dcterms:created xsi:type="dcterms:W3CDTF">2026-10-10T07:27:38Z</dcterms:created>
  <dcterms:modified xsi:type="dcterms:W3CDTF">2026-10-10T07:27:38Z</dcterms:modified>
</cp:coreProperties>
</file>

<file path=docProps/custom.xml><?xml version="1.0" encoding="utf-8"?>
<Properties xmlns="http://schemas.openxmlformats.org/officeDocument/2006/custom-properties" xmlns:vt="http://schemas.openxmlformats.org/officeDocument/2006/docPropsVTypes"/>
</file>