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tel-aviv-community-services-ltd."/>
    <w:p>
      <w:pPr>
        <w:pStyle w:val="Heading1"/>
      </w:pPr>
      <w:r>
        <w:t xml:space="preserve">Tel Aviv Community Services Ltd.</w:t>
      </w:r>
    </w:p>
    <w:p>
      <w:pPr>
        <w:pStyle w:val="FirstParagraph"/>
      </w:pPr>
      <w:r>
        <w:t xml:space="preserve">125 Allenby Street, Tel Aviv-Yafo, Israel 6612300</w:t>
      </w:r>
    </w:p>
    <w:p>
      <w:pPr>
        <w:pStyle w:val="BodyText"/>
      </w:pPr>
      <w:r>
        <w:t xml:space="preserve">Tel: +972-3-624-5500 | Email: info@tacomsvc.co.il</w:t>
      </w:r>
    </w:p>
    <w:p>
      <w:pPr>
        <w:pStyle w:val="BodyText"/>
      </w:pPr>
      <w:r>
        <w:t xml:space="preserve">License No. IL-SW-2024-0891 | VAT: 51-804-332-19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QE-2025-TLV-0447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Rivka Shalom, Senior Social Worker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Tel Aviv-Yafo, Israel]</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Israel Tel Aviv</w:t>
      </w:r>
    </w:p>
    <w:bookmarkEnd w:id="22"/>
    <w:p>
      <w:pPr>
        <w:pStyle w:val="BodyText"/>
      </w:pPr>
      <w:r>
        <w:t xml:space="preserve">Dear Valued Client,</w:t>
      </w:r>
    </w:p>
    <w:p>
      <w:pPr>
        <w:pStyle w:val="BodyText"/>
      </w:pPr>
      <w:r>
        <w:t xml:space="preserve">Thank you for your interest in the professional services of</w:t>
      </w:r>
      <w:r>
        <w:t xml:space="preserve"> </w:t>
      </w:r>
      <w:r>
        <w:t xml:space="preserve">Tel Aviv Community Services Ltd.</w:t>
      </w:r>
      <w:r>
        <w:t xml:space="preserve"> </w:t>
      </w:r>
      <w:r>
        <w:t xml:space="preserve">This</w:t>
      </w:r>
      <w:r>
        <w:t xml:space="preserve"> </w:t>
      </w:r>
      <w:r>
        <w:t xml:space="preserve">Quotation Estimate</w:t>
      </w:r>
      <w:r>
        <w:t xml:space="preserve"> </w:t>
      </w:r>
      <w:r>
        <w:t xml:space="preserve">has been carefully prepared to outline the scope, deliverables, and associated costs for the engagement of a qualified</w:t>
      </w:r>
      <w:r>
        <w:t xml:space="preserve"> </w:t>
      </w:r>
      <w:r>
        <w:t xml:space="preserve">Social Worker</w:t>
      </w:r>
      <w:r>
        <w:t xml:space="preserve"> </w:t>
      </w:r>
      <w:r>
        <w:t xml:space="preserve">to provide comprehensive community-based support services within the Israel Tel Aviv metropolitan area. Our team of licensed and experienced Social Workers is dedicated to delivering high-quality, culturally sensitive, and ethically grounded social services that meet the diverse needs of residents and organizations across Tel Aviv and its surrounding districts.</w:t>
      </w:r>
    </w:p>
    <w:p>
      <w:pPr>
        <w:pStyle w:val="BodyText"/>
      </w:pPr>
      <w:r>
        <w:t xml:space="preserve">Scope of Services – Social Worker Engagement</w:t>
      </w:r>
    </w:p>
    <w:p>
      <w:pPr>
        <w:pStyle w:val="BodyText"/>
      </w:pPr>
      <w:r>
        <w:t xml:space="preserve">The following</w:t>
      </w:r>
      <w:r>
        <w:t xml:space="preserve"> </w:t>
      </w:r>
      <w:r>
        <w:t xml:space="preserve">Quotation Estimate</w:t>
      </w:r>
      <w:r>
        <w:t xml:space="preserve"> </w:t>
      </w:r>
      <w:r>
        <w:t xml:space="preserve">covers the full spectrum of professional Social Worker services to be delivered in Israel Tel Aviv over a twelve-month engagement period. All services will be conducted in accordance with the Israeli Social Welfare Law (5727-1967), the National Insurance Law, and the professional code of ethics established by the Israel Association of Social Workers. The assigned Social Worker will hold a Master's degree in Social Work (MSW) from a recognized Israeli university and will possess a valid professional license issued by the Ministry of Welfare and Social Affairs.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community assessment and needs analysis conducted by the Social Worker across designated Tel Aviv neighborhoods</w:t>
            </w:r>
          </w:p>
        </w:tc>
        <w:tc>
          <w:tcPr/>
          <w:p>
            <w:pPr>
              <w:pStyle w:val="Compact"/>
              <w:jc w:val="left"/>
            </w:pPr>
            <w:r>
              <w:t xml:space="preserve">2 weeks</w:t>
            </w:r>
          </w:p>
        </w:tc>
        <w:tc>
          <w:tcPr/>
          <w:p>
            <w:pPr>
              <w:pStyle w:val="Compact"/>
              <w:jc w:val="left"/>
            </w:pPr>
            <w:r>
              <w:t xml:space="preserve">1,200 / hr</w:t>
            </w:r>
          </w:p>
        </w:tc>
        <w:tc>
          <w:tcPr/>
          <w:p>
            <w:pPr>
              <w:pStyle w:val="Compact"/>
              <w:jc w:val="left"/>
            </w:pPr>
            <w:r>
              <w:t xml:space="preserve">19,200</w:t>
            </w:r>
          </w:p>
        </w:tc>
        <w:tc>
          <w:tcPr/>
          <w:p>
            <w:pPr>
              <w:pStyle w:val="Compact"/>
              <w:jc w:val="left"/>
            </w:pPr>
            <w:r>
              <w:t xml:space="preserve">On-site in Israel Tel Aviv</w:t>
            </w:r>
          </w:p>
        </w:tc>
      </w:tr>
      <w:tr>
        <w:tc>
          <w:tcPr/>
          <w:p>
            <w:pPr>
              <w:pStyle w:val="Compact"/>
              <w:jc w:val="left"/>
            </w:pPr>
            <w:r>
              <w:t xml:space="preserve">2</w:t>
            </w:r>
          </w:p>
        </w:tc>
        <w:tc>
          <w:tcPr/>
          <w:p>
            <w:pPr>
              <w:pStyle w:val="Compact"/>
              <w:jc w:val="left"/>
            </w:pPr>
            <w:r>
              <w:t xml:space="preserve">Individual case management and counseling sessions (up to 40 sessions per month)</w:t>
            </w:r>
          </w:p>
        </w:tc>
        <w:tc>
          <w:tcPr/>
          <w:p>
            <w:pPr>
              <w:pStyle w:val="Compact"/>
              <w:jc w:val="left"/>
            </w:pPr>
            <w:r>
              <w:t xml:space="preserve">12 months</w:t>
            </w:r>
          </w:p>
        </w:tc>
        <w:tc>
          <w:tcPr/>
          <w:p>
            <w:pPr>
              <w:pStyle w:val="Compact"/>
              <w:jc w:val="left"/>
            </w:pPr>
            <w:r>
              <w:t xml:space="preserve">350 / session</w:t>
            </w:r>
          </w:p>
        </w:tc>
        <w:tc>
          <w:tcPr/>
          <w:p>
            <w:pPr>
              <w:pStyle w:val="Compact"/>
              <w:jc w:val="left"/>
            </w:pPr>
            <w:r>
              <w:t xml:space="preserve">168,000</w:t>
            </w:r>
          </w:p>
        </w:tc>
        <w:tc>
          <w:tcPr/>
          <w:p>
            <w:pPr>
              <w:pStyle w:val="Compact"/>
              <w:jc w:val="left"/>
            </w:pPr>
            <w:r>
              <w:t xml:space="preserve">Hebrew / English / Russian</w:t>
            </w:r>
          </w:p>
        </w:tc>
      </w:tr>
      <w:tr>
        <w:tc>
          <w:tcPr/>
          <w:p>
            <w:pPr>
              <w:pStyle w:val="Compact"/>
              <w:jc w:val="left"/>
            </w:pPr>
            <w:r>
              <w:t xml:space="preserve">3</w:t>
            </w:r>
          </w:p>
        </w:tc>
        <w:tc>
          <w:tcPr/>
          <w:p>
            <w:pPr>
              <w:pStyle w:val="Compact"/>
              <w:jc w:val="left"/>
            </w:pPr>
            <w:r>
              <w:t xml:space="preserve">Group facilitation and community support programs (8 groups, 12 sessions each)</w:t>
            </w:r>
          </w:p>
        </w:tc>
        <w:tc>
          <w:tcPr/>
          <w:p>
            <w:pPr>
              <w:pStyle w:val="Compact"/>
              <w:jc w:val="left"/>
            </w:pPr>
            <w:r>
              <w:t xml:space="preserve">12 months</w:t>
            </w:r>
          </w:p>
        </w:tc>
        <w:tc>
          <w:tcPr/>
          <w:p>
            <w:pPr>
              <w:pStyle w:val="Compact"/>
              <w:jc w:val="left"/>
            </w:pPr>
            <w:r>
              <w:t xml:space="preserve">800 / session</w:t>
            </w:r>
          </w:p>
        </w:tc>
        <w:tc>
          <w:tcPr/>
          <w:p>
            <w:pPr>
              <w:pStyle w:val="Compact"/>
              <w:jc w:val="left"/>
            </w:pPr>
            <w:r>
              <w:t xml:space="preserve">76,800</w:t>
            </w:r>
          </w:p>
        </w:tc>
        <w:tc>
          <w:tcPr/>
          <w:p>
            <w:pPr>
              <w:pStyle w:val="Compact"/>
              <w:jc w:val="left"/>
            </w:pPr>
            <w:r>
              <w:t xml:space="preserve">Family, youth, elderly</w:t>
            </w:r>
          </w:p>
        </w:tc>
      </w:tr>
      <w:tr>
        <w:tc>
          <w:tcPr/>
          <w:p>
            <w:pPr>
              <w:pStyle w:val="Compact"/>
              <w:jc w:val="left"/>
            </w:pPr>
            <w:r>
              <w:t xml:space="preserve">4</w:t>
            </w:r>
          </w:p>
        </w:tc>
        <w:tc>
          <w:tcPr/>
          <w:p>
            <w:pPr>
              <w:pStyle w:val="Compact"/>
              <w:jc w:val="left"/>
            </w:pPr>
            <w:r>
              <w:t xml:space="preserve">Crisis intervention and emergency response support (on-call availability)</w:t>
            </w:r>
          </w:p>
        </w:tc>
        <w:tc>
          <w:tcPr/>
          <w:p>
            <w:pPr>
              <w:pStyle w:val="Compact"/>
              <w:jc w:val="left"/>
            </w:pPr>
            <w:r>
              <w:t xml:space="preserve">12 months</w:t>
            </w:r>
          </w:p>
        </w:tc>
        <w:tc>
          <w:tcPr/>
          <w:p>
            <w:pPr>
              <w:pStyle w:val="Compact"/>
              <w:jc w:val="left"/>
            </w:pPr>
            <w:r>
              <w:t xml:space="preserve">2,500 / month</w:t>
            </w:r>
          </w:p>
        </w:tc>
        <w:tc>
          <w:tcPr/>
          <w:p>
            <w:pPr>
              <w:pStyle w:val="Compact"/>
              <w:jc w:val="left"/>
            </w:pPr>
            <w:r>
              <w:t xml:space="preserve">30,000</w:t>
            </w:r>
          </w:p>
        </w:tc>
        <w:tc>
          <w:tcPr/>
          <w:p>
            <w:pPr>
              <w:pStyle w:val="Compact"/>
              <w:jc w:val="left"/>
            </w:pPr>
            <w:r>
              <w:t xml:space="preserve">24/7 standby in Tel Aviv</w:t>
            </w:r>
          </w:p>
        </w:tc>
      </w:tr>
      <w:tr>
        <w:tc>
          <w:tcPr/>
          <w:p>
            <w:pPr>
              <w:pStyle w:val="Compact"/>
              <w:jc w:val="left"/>
            </w:pPr>
            <w:r>
              <w:t xml:space="preserve">5</w:t>
            </w:r>
          </w:p>
        </w:tc>
        <w:tc>
          <w:tcPr/>
          <w:p>
            <w:pPr>
              <w:pStyle w:val="Compact"/>
              <w:jc w:val="left"/>
            </w:pPr>
            <w:r>
              <w:t xml:space="preserve">Inter-agency coordination with municipal welfare offices, hospitals, and NGOs in Israel Tel Aviv</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w:t>
            </w:r>
          </w:p>
        </w:tc>
        <w:tc>
          <w:tcPr/>
          <w:p>
            <w:pPr>
              <w:pStyle w:val="Compact"/>
              <w:jc w:val="left"/>
            </w:pPr>
            <w:r>
              <w:t xml:space="preserve">Includes travel within city</w:t>
            </w:r>
          </w:p>
        </w:tc>
      </w:tr>
      <w:tr>
        <w:tc>
          <w:tcPr/>
          <w:p>
            <w:pPr>
              <w:pStyle w:val="Compact"/>
              <w:jc w:val="left"/>
            </w:pPr>
            <w:r>
              <w:t xml:space="preserve">6</w:t>
            </w:r>
          </w:p>
        </w:tc>
        <w:tc>
          <w:tcPr/>
          <w:p>
            <w:pPr>
              <w:pStyle w:val="Compact"/>
              <w:jc w:val="left"/>
            </w:pPr>
            <w:r>
              <w:t xml:space="preserve">Monthly progress reports, documentation, and compliance filings</w:t>
            </w:r>
          </w:p>
        </w:tc>
        <w:tc>
          <w:tcPr/>
          <w:p>
            <w:pPr>
              <w:pStyle w:val="Compact"/>
              <w:jc w:val="left"/>
            </w:pPr>
            <w:r>
              <w:t xml:space="preserve">12 months</w:t>
            </w:r>
          </w:p>
        </w:tc>
        <w:tc>
          <w:tcPr/>
          <w:p>
            <w:pPr>
              <w:pStyle w:val="Compact"/>
              <w:jc w:val="left"/>
            </w:pPr>
            <w:r>
              <w:t xml:space="preserve">1,000 / month</w:t>
            </w:r>
          </w:p>
        </w:tc>
        <w:tc>
          <w:tcPr/>
          <w:p>
            <w:pPr>
              <w:pStyle w:val="Compact"/>
              <w:jc w:val="left"/>
            </w:pPr>
            <w:r>
              <w:t xml:space="preserve">12,000</w:t>
            </w:r>
          </w:p>
        </w:tc>
        <w:tc>
          <w:tcPr/>
          <w:p>
            <w:pPr>
              <w:pStyle w:val="Compact"/>
              <w:jc w:val="left"/>
            </w:pPr>
            <w:r>
              <w:t xml:space="preserve">Digital and hard copy</w:t>
            </w:r>
          </w:p>
        </w:tc>
      </w:tr>
      <w:tr>
        <w:tc>
          <w:tcPr/>
          <w:p>
            <w:pPr>
              <w:pStyle w:val="Compact"/>
              <w:jc w:val="left"/>
            </w:pPr>
            <w:r>
              <w:t xml:space="preserve">7</w:t>
            </w:r>
          </w:p>
        </w:tc>
        <w:tc>
          <w:tcPr/>
          <w:p>
            <w:pPr>
              <w:pStyle w:val="Compact"/>
              <w:jc w:val="left"/>
            </w:pPr>
            <w:r>
              <w:t xml:space="preserve">Supervision and professional development for junior staff (bi-weekly)</w:t>
            </w:r>
          </w:p>
        </w:tc>
        <w:tc>
          <w:tcPr/>
          <w:p>
            <w:pPr>
              <w:pStyle w:val="Compact"/>
              <w:jc w:val="left"/>
            </w:pPr>
            <w:r>
              <w:t xml:space="preserve">12 months</w:t>
            </w:r>
          </w:p>
        </w:tc>
        <w:tc>
          <w:tcPr/>
          <w:p>
            <w:pPr>
              <w:pStyle w:val="Compact"/>
              <w:jc w:val="left"/>
            </w:pPr>
            <w:r>
              <w:t xml:space="preserve">600 / session</w:t>
            </w:r>
          </w:p>
        </w:tc>
        <w:tc>
          <w:tcPr/>
          <w:p>
            <w:pPr>
              <w:pStyle w:val="Compact"/>
              <w:jc w:val="left"/>
            </w:pPr>
            <w:r>
              <w:t xml:space="preserve">72,000</w:t>
            </w:r>
          </w:p>
        </w:tc>
        <w:tc>
          <w:tcPr/>
          <w:p>
            <w:pPr>
              <w:pStyle w:val="Compact"/>
              <w:jc w:val="left"/>
            </w:pPr>
            <w:r>
              <w:t xml:space="preserve">Lead Social Worker</w:t>
            </w:r>
          </w:p>
        </w:tc>
      </w:tr>
      <w:tr>
        <w:tc>
          <w:tcPr/>
          <w:p>
            <w:pPr>
              <w:pStyle w:val="Compact"/>
              <w:jc w:val="left"/>
            </w:pPr>
            <w:r>
              <w:t xml:space="preserve">8</w:t>
            </w:r>
          </w:p>
        </w:tc>
        <w:tc>
          <w:tcPr/>
          <w:p>
            <w:pPr>
              <w:pStyle w:val="Compact"/>
              <w:jc w:val="left"/>
            </w:pPr>
            <w:r>
              <w:t xml:space="preserve">Administrative overhead, insurance, and professional liability coverage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15,000</w:t>
            </w:r>
          </w:p>
        </w:tc>
        <w:tc>
          <w:tcPr/>
          <w:p>
            <w:pPr>
              <w:pStyle w:val="Compact"/>
              <w:jc w:val="left"/>
            </w:pPr>
            <w:r>
              <w:t xml:space="preserve">Flat annual fee</w:t>
            </w:r>
          </w:p>
        </w:tc>
      </w:tr>
      <w:tr>
        <w:tc>
          <w:tcPr>
            <w:gridSpan w:val="4"/>
          </w:tcPr>
          <w:p>
            <w:pPr>
              <w:pStyle w:val="Compact"/>
              <w:jc w:val="left"/>
            </w:pPr>
            <w:r>
              <w:t xml:space="preserve">TOTAL ESTIMATED COST (excl. VAT)</w:t>
            </w:r>
          </w:p>
        </w:tc>
        <w:tc>
          <w:tcPr/>
          <w:p>
            <w:pPr>
              <w:pStyle w:val="Compact"/>
              <w:jc w:val="left"/>
            </w:pPr>
            <w:r>
              <w:t xml:space="preserve">411,000</w:t>
            </w:r>
          </w:p>
        </w:tc>
        <w:tc>
          <w:tcPr/>
          <w:p>
            <w:pPr>
              <w:pStyle w:val="Compact"/>
              <w:jc w:val="left"/>
            </w:pPr>
            <w:r>
              <w:t xml:space="preserve">ILS</w:t>
            </w:r>
          </w:p>
        </w:tc>
      </w:tr>
      <w:tr>
        <w:tc>
          <w:tcPr>
            <w:gridSpan w:val="4"/>
          </w:tcPr>
          <w:p>
            <w:pPr>
              <w:pStyle w:val="Compact"/>
              <w:jc w:val="left"/>
            </w:pPr>
            <w:r>
              <w:t xml:space="preserve">VAT (18%)</w:t>
            </w:r>
          </w:p>
        </w:tc>
        <w:tc>
          <w:tcPr/>
          <w:p>
            <w:pPr>
              <w:pStyle w:val="Compact"/>
              <w:jc w:val="left"/>
            </w:pPr>
            <w:r>
              <w:t xml:space="preserve">73,980</w:t>
            </w:r>
          </w:p>
        </w:tc>
        <w:tc>
          <w:tcPr/>
          <w:p>
            <w:pPr>
              <w:pStyle w:val="Compact"/>
              <w:jc w:val="left"/>
            </w:pPr>
            <w:r>
              <w:t xml:space="preserve">ILS</w:t>
            </w:r>
          </w:p>
        </w:tc>
      </w:tr>
      <w:tr>
        <w:tc>
          <w:tcPr>
            <w:gridSpan w:val="4"/>
          </w:tcPr>
          <w:p>
            <w:pPr>
              <w:pStyle w:val="Compact"/>
              <w:jc w:val="left"/>
            </w:pPr>
            <w:r>
              <w:t xml:space="preserve">GRAND TOTAL (incl. VAT)</w:t>
            </w:r>
          </w:p>
        </w:tc>
        <w:tc>
          <w:tcPr/>
          <w:p>
            <w:pPr>
              <w:pStyle w:val="Compact"/>
              <w:jc w:val="left"/>
            </w:pPr>
            <w:r>
              <w:t xml:space="preserve">484,980</w:t>
            </w:r>
          </w:p>
        </w:tc>
        <w:tc>
          <w:tcPr/>
          <w:p>
            <w:pPr>
              <w:pStyle w:val="Compact"/>
              <w:jc w:val="left"/>
            </w:pPr>
            <w:r>
              <w:t xml:space="preserve">ILS</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and resource availability in Israel Tel Aviv.</w:t>
      </w:r>
    </w:p>
    <w:p>
      <w:pPr>
        <w:numPr>
          <w:ilvl w:val="0"/>
          <w:numId w:val="1001"/>
        </w:numPr>
        <w:pStyle w:val="Compact"/>
      </w:pPr>
      <w:r>
        <w:t xml:space="preserve">All Social Worker services will be performed by licensed professionals registered with the Israeli Social Workers' Association. The client is entitled to request a replacement of the assigned Social Worker with reasonable notice (minimum 14 days).</w:t>
      </w:r>
    </w:p>
    <w:p>
      <w:pPr>
        <w:numPr>
          <w:ilvl w:val="0"/>
          <w:numId w:val="1001"/>
        </w:numPr>
        <w:pStyle w:val="Compact"/>
      </w:pPr>
      <w:r>
        <w:t xml:space="preserve">Payment terms: 30% advance upon contract signing, with the remaining 70% invoiced monthly in arrears. Payment is due within fourteen (14) days of invoice receipt via bank transfer to our Tel Aviv office account.</w:t>
      </w:r>
    </w:p>
    <w:p>
      <w:pPr>
        <w:numPr>
          <w:ilvl w:val="0"/>
          <w:numId w:val="1001"/>
        </w:numPr>
        <w:pStyle w:val="Compact"/>
      </w:pPr>
      <w:r>
        <w:t xml:space="preserve">Confidentiality: All client data and case records handled by the Social Worker are protected under the Israeli Privacy Protection Law (5741-1981). No information will be disclosed to third parties without written consent, except where mandated by law.</w:t>
      </w:r>
    </w:p>
    <w:p>
      <w:pPr>
        <w:numPr>
          <w:ilvl w:val="0"/>
          <w:numId w:val="1001"/>
        </w:numPr>
        <w:pStyle w:val="Compact"/>
      </w:pPr>
      <w:r>
        <w:t xml:space="preserve">Cancellation: Either party may terminate the engagement with thirty (30) days written notice. In the event of early termination by the client, a pro-rata charge for services rendered up to the termination date will apply.</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government-mandated closures, or public health emergencies affecting the Israel Tel Aviv 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mediation in Tel Aviv, Israel, in accordance with the Israeli Mediation Law. If mediation fails, the matter shall be submitted to the competent courts in Tel Aviv.</w:t>
      </w:r>
    </w:p>
    <w:p>
      <w:pPr>
        <w:numPr>
          <w:ilvl w:val="0"/>
          <w:numId w:val="1001"/>
        </w:numPr>
        <w:pStyle w:val="Compact"/>
      </w:pPr>
      <w:r>
        <w:t xml:space="preserve">All rates quoted are in New Israeli Shekels (ILS) and are inclusive of the Social Worker's professional fees, travel within the Tel Aviv-Yafo municipality, and standard administrative costs. Travel to locations outside the Tel Aviv metropolitan area will be billed separately at 15 ILS per kilometer.</w:t>
      </w:r>
    </w:p>
    <w:p>
      <w:pPr>
        <w:pStyle w:val="FirstParagraph"/>
      </w:pPr>
      <w:r>
        <w:t xml:space="preserve">Acceptance and Authorization</w:t>
      </w:r>
    </w:p>
    <w:p>
      <w:pPr>
        <w:pStyle w:val="BodyText"/>
      </w:pPr>
      <w:r>
        <w:t xml:space="preserve">By signing below, the client acknowledges that this</w:t>
      </w:r>
      <w:r>
        <w:t xml:space="preserve"> </w:t>
      </w:r>
      <w:r>
        <w:t xml:space="preserve">Quotation Estimate</w:t>
      </w:r>
      <w:r>
        <w:t xml:space="preserve"> </w:t>
      </w:r>
      <w:r>
        <w:t xml:space="preserve">accurately reflects the scope of Social Worker services to be provided in Israel Tel Aviv and agrees to the terms and conditions outlined herein. Upon acceptance, a formal service agreement will be drafted and executed within five (5) business days.</w:t>
      </w:r>
    </w:p>
    <w:p>
      <w:pPr>
        <w:pStyle w:val="BodyText"/>
      </w:pPr>
      <w:r>
        <w:rPr>
          <w:bCs/>
          <w:b/>
        </w:rPr>
        <w:t xml:space="preserve">For Tel Aviv Community Services Ltd.</w:t>
      </w:r>
      <w:r>
        <w:br/>
      </w:r>
      <w:r>
        <w:t xml:space="preserve">Name: Rivka Shalom</w:t>
      </w:r>
      <w:r>
        <w:br/>
      </w:r>
      <w:r>
        <w:t xml:space="preserve">Title: Senior Social Worker / Account Manager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Tel Aviv Community Services Ltd. | 125 Allenby Street, Tel Aviv-Yafo, Israel 6612300</w:t>
      </w:r>
    </w:p>
    <w:p>
      <w:pPr>
        <w:pStyle w:val="BodyText"/>
      </w:pPr>
      <w:r>
        <w:t xml:space="preserve">This Quotation Estimate document is confidential and intended solely for the named client. Unauthorized distribution is prohibited.</w:t>
      </w:r>
    </w:p>
    <w:p>
      <w:pPr>
        <w:pStyle w:val="BodyText"/>
      </w:pPr>
      <w:r>
        <w:t xml:space="preserve">Document Ref: QE-2025-TLV-0447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Israel Tel Aviv</dc:title>
  <dc:creator/>
  <dc:language>en</dc:language>
  <cp:keywords/>
  <dcterms:created xsi:type="dcterms:W3CDTF">2026-10-10T01:21:02Z</dcterms:created>
  <dcterms:modified xsi:type="dcterms:W3CDTF">2026-10-10T01:21:02Z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