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Xabb914d3225c929fc403cb3f5d03f8fd72a1f54"/>
    <w:p>
      <w:pPr>
        <w:pStyle w:val="Heading2"/>
      </w:pPr>
      <w:r>
        <w:t xml:space="preserve">Social Worker Professional Services — Japan Kyoto</w:t>
      </w:r>
    </w:p>
    <w:p>
      <w:pPr>
        <w:pStyle w:val="FirstParagraph"/>
      </w:pPr>
      <w:r>
        <w:t xml:space="preserve">Kyoto Social Services Consultancy Co., Ltd.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KYOTO-SW-2025-0472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Haruki Tanaka, Senior Social Worker &amp; Service Coordinator</w:t>
            </w:r>
          </w:p>
        </w:tc>
      </w:tr>
      <w:tr>
        <w:tc>
          <w:tcPr/>
          <w:p>
            <w:pPr>
              <w:pStyle w:val="Compact"/>
              <w:jc w:val="left"/>
            </w:pPr>
            <w:r>
              <w:t xml:space="preserve">Client / Recipient:</w:t>
            </w:r>
          </w:p>
        </w:tc>
        <w:tc>
          <w:tcPr/>
          <w:p>
            <w:pPr>
              <w:pStyle w:val="Compact"/>
              <w:jc w:val="left"/>
            </w:pPr>
            <w:r>
              <w:t xml:space="preserve">Kyoto Municipal Welfare Bureau, 1-1-1 Maruyama-cho, Nakagyo-ku, Kyoto, Japan</w:t>
            </w:r>
          </w:p>
        </w:tc>
      </w:tr>
      <w:tr>
        <w:tc>
          <w:tcPr/>
          <w:p>
            <w:pPr>
              <w:pStyle w:val="Compact"/>
              <w:jc w:val="left"/>
            </w:pPr>
            <w:r>
              <w:t xml:space="preserve">Service Location:</w:t>
            </w:r>
          </w:p>
        </w:tc>
        <w:tc>
          <w:tcPr/>
          <w:p>
            <w:pPr>
              <w:pStyle w:val="Compact"/>
              <w:jc w:val="left"/>
            </w:pPr>
            <w:r>
              <w:t xml:space="preserve">Kyoto Prefecture, Japan (covering central Kyoto City and surrounding districts)</w:t>
            </w:r>
          </w:p>
        </w:tc>
      </w:tr>
      <w:tr>
        <w:tc>
          <w:tcPr/>
          <w:p>
            <w:pPr>
              <w:pStyle w:val="Compact"/>
              <w:jc w:val="left"/>
            </w:pPr>
            <w:r>
              <w:t xml:space="preserve">Currency:</w:t>
            </w:r>
          </w:p>
        </w:tc>
        <w:tc>
          <w:tcPr/>
          <w:p>
            <w:pPr>
              <w:pStyle w:val="Compact"/>
              <w:jc w:val="left"/>
            </w:pPr>
            <w:r>
              <w:t xml:space="preserve">Japanese Yen (JPY)</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Kyoto Social Services Consultancy Co., Ltd. to formally propose the engagement of a qualified Social Worker to deliver comprehensive community-based social welfare services within the Japan Kyoto metropolitan area. The scope of this Quotation Estimate encompasses a twelve-month contract period during which the designated Social Worker will provide case management, family support, elderly care coordination, youth counselling, and crisis intervention services to residents across Kyoto City, Fushimi-ku, Sakyo-ku, Nakagyo-ku, Higashiyama-ku, and Kamigyo-ku.</w:t>
      </w:r>
    </w:p>
    <w:p>
      <w:pPr>
        <w:pStyle w:val="BodyText"/>
      </w:pPr>
      <w:r>
        <w:t xml:space="preserve">The Social Worker engaged under this Quotation Estimate shall hold a valid Japanese Social Worker qualification (Shakai Hoken Shigoto-sha) and possess a minimum of five years of documented experience in community welfare practice within Japan. All services outlined in this Quotation Estimate are designed to align with the standards set forth by the Ministry of Health, Labour and Welfare of Japan and the Kyoto Prefectural Board of Social Welfare.</w:t>
      </w:r>
    </w:p>
    <w:bookmarkEnd w:id="22"/>
    <w:bookmarkStart w:id="23" w:name="Xee5d00c99fbaf3124ff509c498f6909e4ce5d3e"/>
    <w:p>
      <w:pPr>
        <w:pStyle w:val="Heading3"/>
      </w:pPr>
      <w:r>
        <w:t xml:space="preserve">2. Detailed Service Breakdown and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(JPY)</w:t>
            </w:r>
          </w:p>
        </w:tc>
        <w:tc>
          <w:tcPr/>
          <w:p>
            <w:pPr>
              <w:pStyle w:val="Compact"/>
              <w:jc w:val="left"/>
            </w:pPr>
            <w:r>
              <w:t xml:space="preserve">Estimated Qty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Case Management &amp; Individual Assessment by Social Worker</w:t>
            </w:r>
          </w:p>
        </w:tc>
        <w:tc>
          <w:tcPr/>
          <w:p>
            <w:pPr>
              <w:pStyle w:val="Compact"/>
              <w:jc w:val="left"/>
            </w:pPr>
            <w:r>
              <w:t xml:space="preserve">Monthly (12 sessions)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Family Support &amp; Domestic Counselling (Social Worker-led)</w:t>
            </w:r>
          </w:p>
        </w:tc>
        <w:tc>
          <w:tcPr/>
          <w:p>
            <w:pPr>
              <w:pStyle w:val="Compact"/>
              <w:jc w:val="left"/>
            </w:pPr>
            <w:r>
              <w:t xml:space="preserve">Bi-weekly (24 sessions)</w:t>
            </w:r>
          </w:p>
        </w:tc>
        <w:tc>
          <w:tcPr/>
          <w:p>
            <w:pPr>
              <w:pStyle w:val="Compact"/>
              <w:jc w:val="left"/>
            </w:pPr>
            <w:r>
              <w:t xml:space="preserve">38,000</w:t>
            </w:r>
          </w:p>
        </w:tc>
        <w:tc>
          <w:tcPr/>
          <w:p>
            <w:pPr>
              <w:pStyle w:val="Compact"/>
              <w:jc w:val="left"/>
            </w:pPr>
            <w:r>
              <w:t xml:space="preserve">24</w:t>
            </w:r>
          </w:p>
        </w:tc>
        <w:tc>
          <w:tcPr/>
          <w:p>
            <w:pPr>
              <w:pStyle w:val="Compact"/>
              <w:jc w:val="left"/>
            </w:pPr>
            <w:r>
              <w:t xml:space="preserve">912,000</w:t>
            </w:r>
          </w:p>
        </w:tc>
      </w:tr>
      <w:tr>
        <w:tc>
          <w:tcPr/>
          <w:p>
            <w:pPr>
              <w:pStyle w:val="Compact"/>
              <w:jc w:val="left"/>
            </w:pPr>
            <w:r>
              <w:t xml:space="preserve">3</w:t>
            </w:r>
          </w:p>
        </w:tc>
        <w:tc>
          <w:tcPr/>
          <w:p>
            <w:pPr>
              <w:pStyle w:val="Compact"/>
              <w:jc w:val="left"/>
            </w:pPr>
            <w:r>
              <w:t xml:space="preserve">Elderly Care Coordination &amp; Home Visit Programme in Japan Kyoto</w:t>
            </w:r>
          </w:p>
        </w:tc>
        <w:tc>
          <w:tcPr/>
          <w:p>
            <w:pPr>
              <w:pStyle w:val="Compact"/>
              <w:jc w:val="left"/>
            </w:pPr>
            <w:r>
              <w:t xml:space="preserve">Weekly (52 visits)</w:t>
            </w:r>
          </w:p>
        </w:tc>
        <w:tc>
          <w:tcPr/>
          <w:p>
            <w:pPr>
              <w:pStyle w:val="Compact"/>
              <w:jc w:val="left"/>
            </w:pPr>
            <w:r>
              <w:t xml:space="preserve">32,000</w:t>
            </w:r>
          </w:p>
        </w:tc>
        <w:tc>
          <w:tcPr/>
          <w:p>
            <w:pPr>
              <w:pStyle w:val="Compact"/>
              <w:jc w:val="left"/>
            </w:pPr>
            <w:r>
              <w:t xml:space="preserve">52</w:t>
            </w:r>
          </w:p>
        </w:tc>
        <w:tc>
          <w:tcPr/>
          <w:p>
            <w:pPr>
              <w:pStyle w:val="Compact"/>
              <w:jc w:val="left"/>
            </w:pPr>
            <w:r>
              <w:t xml:space="preserve">1,664,000</w:t>
            </w:r>
          </w:p>
        </w:tc>
      </w:tr>
      <w:tr>
        <w:tc>
          <w:tcPr/>
          <w:p>
            <w:pPr>
              <w:pStyle w:val="Compact"/>
              <w:jc w:val="left"/>
            </w:pPr>
            <w:r>
              <w:t xml:space="preserve">4</w:t>
            </w:r>
          </w:p>
        </w:tc>
        <w:tc>
          <w:tcPr/>
          <w:p>
            <w:pPr>
              <w:pStyle w:val="Compact"/>
              <w:jc w:val="left"/>
            </w:pPr>
            <w:r>
              <w:t xml:space="preserve">Youth &amp; Adolescent Counselling Services (Social Worker)</w:t>
            </w:r>
          </w:p>
        </w:tc>
        <w:tc>
          <w:tcPr/>
          <w:p>
            <w:pPr>
              <w:pStyle w:val="Compact"/>
              <w:jc w:val="left"/>
            </w:pPr>
            <w:r>
              <w:t xml:space="preserve">Fortnightly (26 sessions)</w:t>
            </w:r>
          </w:p>
        </w:tc>
        <w:tc>
          <w:tcPr/>
          <w:p>
            <w:pPr>
              <w:pStyle w:val="Compact"/>
              <w:jc w:val="left"/>
            </w:pPr>
            <w:r>
              <w:t xml:space="preserve">35,000</w:t>
            </w:r>
          </w:p>
        </w:tc>
        <w:tc>
          <w:tcPr/>
          <w:p>
            <w:pPr>
              <w:pStyle w:val="Compact"/>
              <w:jc w:val="left"/>
            </w:pPr>
            <w:r>
              <w:t xml:space="preserve">26</w:t>
            </w:r>
          </w:p>
        </w:tc>
        <w:tc>
          <w:tcPr/>
          <w:p>
            <w:pPr>
              <w:pStyle w:val="Compact"/>
              <w:jc w:val="left"/>
            </w:pPr>
            <w:r>
              <w:t xml:space="preserve">910,000</w:t>
            </w:r>
          </w:p>
        </w:tc>
      </w:tr>
      <w:tr>
        <w:tc>
          <w:tcPr/>
          <w:p>
            <w:pPr>
              <w:pStyle w:val="Compact"/>
              <w:jc w:val="left"/>
            </w:pPr>
            <w:r>
              <w:t xml:space="preserve">5</w:t>
            </w:r>
          </w:p>
        </w:tc>
        <w:tc>
          <w:tcPr/>
          <w:p>
            <w:pPr>
              <w:pStyle w:val="Compact"/>
              <w:jc w:val="left"/>
            </w:pPr>
            <w:r>
              <w:t xml:space="preserve">Crisis Intervention &amp; Emergency Response (on-call, Social Worker)</w:t>
            </w:r>
          </w:p>
        </w:tc>
        <w:tc>
          <w:tcPr/>
          <w:p>
            <w:pPr>
              <w:pStyle w:val="Compact"/>
              <w:jc w:val="left"/>
            </w:pPr>
            <w:r>
              <w:t xml:space="preserve">As needed (est. 10 incidents)</w:t>
            </w:r>
          </w:p>
        </w:tc>
        <w:tc>
          <w:tcPr/>
          <w:p>
            <w:pPr>
              <w:pStyle w:val="Compact"/>
              <w:jc w:val="left"/>
            </w:pPr>
            <w:r>
              <w:t xml:space="preserve">60,000</w:t>
            </w:r>
          </w:p>
        </w:tc>
        <w:tc>
          <w:tcPr/>
          <w:p>
            <w:pPr>
              <w:pStyle w:val="Compact"/>
              <w:jc w:val="left"/>
            </w:pPr>
            <w:r>
              <w:t xml:space="preserve">10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Community Outreach &amp; Public Awareness Workshops in Kyoto</w:t>
            </w:r>
          </w:p>
        </w:tc>
        <w:tc>
          <w:tcPr/>
          <w:p>
            <w:pPr>
              <w:pStyle w:val="Compact"/>
              <w:jc w:val="left"/>
            </w:pPr>
            <w:r>
              <w:t xml:space="preserve">Quarterly (4 events)</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Inter-agency Coordination &amp; Reporting (Social Worker liaison)</w:t>
            </w:r>
          </w:p>
        </w:tc>
        <w:tc>
          <w:tcPr/>
          <w:p>
            <w:pPr>
              <w:pStyle w:val="Compact"/>
              <w:jc w:val="left"/>
            </w:pPr>
            <w:r>
              <w:t xml:space="preserve">Monthly (12 reports)</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Administrative Support, Record Keeping &amp; Data Management</w:t>
            </w:r>
          </w:p>
        </w:tc>
        <w:tc>
          <w:tcPr/>
          <w:p>
            <w:pPr>
              <w:pStyle w:val="Compact"/>
              <w:jc w:val="left"/>
            </w:pPr>
            <w:r>
              <w:t xml:space="preserve">Continuous (12 months)</w:t>
            </w:r>
          </w:p>
        </w:tc>
        <w:tc>
          <w:tcPr/>
          <w:p>
            <w:pPr>
              <w:pStyle w:val="Compact"/>
              <w:jc w:val="left"/>
            </w:pPr>
            <w:r>
              <w:t xml:space="preserve">18,000</w:t>
            </w:r>
          </w:p>
        </w:tc>
        <w:tc>
          <w:tcPr/>
          <w:p>
            <w:pPr>
              <w:pStyle w:val="Compact"/>
              <w:jc w:val="left"/>
            </w:pPr>
            <w:r>
              <w:t xml:space="preserve">12</w:t>
            </w:r>
          </w:p>
        </w:tc>
        <w:tc>
          <w:tcPr/>
          <w:p>
            <w:pPr>
              <w:pStyle w:val="Compact"/>
              <w:jc w:val="left"/>
            </w:pPr>
            <w:r>
              <w:t xml:space="preserve">216,000</w:t>
            </w:r>
          </w:p>
        </w:tc>
      </w:tr>
      <w:tr>
        <w:tc>
          <w:tcPr/>
          <w:p>
            <w:pPr>
              <w:pStyle w:val="Compact"/>
              <w:jc w:val="left"/>
            </w:pPr>
            <w:r>
              <w:t xml:space="preserve">9</w:t>
            </w:r>
          </w:p>
        </w:tc>
        <w:tc>
          <w:tcPr/>
          <w:p>
            <w:pPr>
              <w:pStyle w:val="Compact"/>
              <w:jc w:val="left"/>
            </w:pPr>
            <w:r>
              <w:t xml:space="preserve">Travel &amp; Transportation within Japan Kyoto service area</w:t>
            </w:r>
          </w:p>
        </w:tc>
        <w:tc>
          <w:tcPr/>
          <w:p>
            <w:pPr>
              <w:pStyle w:val="Compact"/>
              <w:jc w:val="left"/>
            </w:pPr>
            <w:r>
              <w:t xml:space="preserve">Continuous (12 months)</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10</w:t>
            </w:r>
          </w:p>
        </w:tc>
        <w:tc>
          <w:tcPr/>
          <w:p>
            <w:pPr>
              <w:pStyle w:val="Compact"/>
              <w:jc w:val="left"/>
            </w:pPr>
            <w:r>
              <w:t xml:space="preserve">Professional Development &amp; Continuing Education for Social Worker</w:t>
            </w:r>
          </w:p>
        </w:tc>
        <w:tc>
          <w:tcPr/>
          <w:p>
            <w:pPr>
              <w:pStyle w:val="Compact"/>
              <w:jc w:val="left"/>
            </w:pPr>
            <w:r>
              <w:t xml:space="preserve">Annual (2 programmes)</w:t>
            </w:r>
          </w:p>
        </w:tc>
        <w:tc>
          <w:tcPr/>
          <w:p>
            <w:pPr>
              <w:pStyle w:val="Compact"/>
              <w:jc w:val="left"/>
            </w:pPr>
            <w:r>
              <w:t xml:space="preserve">85,000</w:t>
            </w:r>
          </w:p>
        </w:tc>
        <w:tc>
          <w:tcPr/>
          <w:p>
            <w:pPr>
              <w:pStyle w:val="Compact"/>
              <w:jc w:val="left"/>
            </w:pPr>
            <w:r>
              <w:t xml:space="preserve">2</w:t>
            </w:r>
          </w:p>
        </w:tc>
        <w:tc>
          <w:tcPr/>
          <w:p>
            <w:pPr>
              <w:pStyle w:val="Compact"/>
              <w:jc w:val="left"/>
            </w:pPr>
            <w:r>
              <w:t xml:space="preserve">170,000</w:t>
            </w:r>
          </w:p>
        </w:tc>
      </w:tr>
      <w:tr>
        <w:tc>
          <w:tcPr>
            <w:gridSpan w:val="5"/>
          </w:tcPr>
          <w:p>
            <w:pPr>
              <w:pStyle w:val="Compact"/>
              <w:jc w:val="left"/>
            </w:pPr>
            <w:r>
              <w:t xml:space="preserve">TOTAL ESTIMATED COST (JPY)</w:t>
            </w:r>
          </w:p>
        </w:tc>
        <w:tc>
          <w:tcPr/>
          <w:p>
            <w:pPr>
              <w:pStyle w:val="Compact"/>
              <w:jc w:val="left"/>
            </w:pPr>
            <w:r>
              <w:t xml:space="preserve">6,036,000</w:t>
            </w:r>
          </w:p>
        </w:tc>
      </w:tr>
      <w:tr>
        <w:tc>
          <w:tcPr>
            <w:gridSpan w:val="5"/>
          </w:tcPr>
          <w:p>
            <w:pPr>
              <w:pStyle w:val="Compact"/>
              <w:jc w:val="left"/>
            </w:pPr>
            <w:r>
              <w:t xml:space="preserve">Applicable Consumption Tax (10%)</w:t>
            </w:r>
          </w:p>
        </w:tc>
        <w:tc>
          <w:tcPr/>
          <w:p>
            <w:pPr>
              <w:pStyle w:val="Compact"/>
              <w:jc w:val="left"/>
            </w:pPr>
            <w:r>
              <w:t xml:space="preserve">603,600</w:t>
            </w:r>
          </w:p>
        </w:tc>
      </w:tr>
      <w:tr>
        <w:tc>
          <w:tcPr>
            <w:gridSpan w:val="5"/>
          </w:tcPr>
          <w:p>
            <w:pPr>
              <w:pStyle w:val="Compact"/>
              <w:jc w:val="left"/>
            </w:pPr>
            <w:r>
              <w:t xml:space="preserve">GRAND TOTAL (JPY, tax inclusive)</w:t>
            </w:r>
          </w:p>
        </w:tc>
        <w:tc>
          <w:tcPr/>
          <w:p>
            <w:pPr>
              <w:pStyle w:val="Compact"/>
              <w:jc w:val="left"/>
            </w:pPr>
            <w:r>
              <w:t xml:space="preserve">6,639,600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all rates and availability of the Social Worker must be reconfirmed in writing.</w:t>
      </w:r>
    </w:p>
    <w:p>
      <w:pPr>
        <w:numPr>
          <w:ilvl w:val="0"/>
          <w:numId w:val="1001"/>
        </w:numPr>
        <w:pStyle w:val="Compact"/>
      </w:pPr>
      <w:r>
        <w:rPr>
          <w:bCs/>
          <w:b/>
        </w:rPr>
        <w:t xml:space="preserve">Payment Schedule:</w:t>
      </w:r>
      <w:r>
        <w:t xml:space="preserve"> </w:t>
      </w:r>
      <w:r>
        <w:t xml:space="preserve">Payment shall be made in quarterly instalments of JPY 1,659,900 (tax inclusive), due within twenty-one (21) days of each invoice date. The first payment is due upon contract execution.</w:t>
      </w:r>
    </w:p>
    <w:p>
      <w:pPr>
        <w:numPr>
          <w:ilvl w:val="0"/>
          <w:numId w:val="1001"/>
        </w:numPr>
        <w:pStyle w:val="Compact"/>
      </w:pPr>
      <w:r>
        <w:rPr>
          <w:bCs/>
          <w:b/>
        </w:rPr>
        <w:t xml:space="preserve">Service Commencement:</w:t>
      </w:r>
      <w:r>
        <w:t xml:space="preserve"> </w:t>
      </w:r>
      <w:r>
        <w:t xml:space="preserve">The Social Worker shall commence duties no later than five (5) business days following written acceptance of this Quotation Estimate by the client.</w:t>
      </w:r>
    </w:p>
    <w:p>
      <w:pPr>
        <w:numPr>
          <w:ilvl w:val="0"/>
          <w:numId w:val="1001"/>
        </w:numPr>
        <w:pStyle w:val="Compact"/>
      </w:pPr>
      <w:r>
        <w:rPr>
          <w:bCs/>
          <w:b/>
        </w:rPr>
        <w:t xml:space="preserve">Confidentiality:</w:t>
      </w:r>
      <w:r>
        <w:t xml:space="preserve"> </w:t>
      </w:r>
      <w:r>
        <w:t xml:space="preserve">All client records, case files, and personal data handled by the Social Worker in Japan Kyoto shall be protected in strict accordance with the Act on the Protection of Personal Information (APPI) of Japan.</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a pro-rata adjustment to the remaining Quotation Estimate balance will be applied.</w:t>
      </w:r>
    </w:p>
    <w:p>
      <w:pPr>
        <w:numPr>
          <w:ilvl w:val="0"/>
          <w:numId w:val="1001"/>
        </w:numPr>
        <w:pStyle w:val="Compact"/>
      </w:pPr>
      <w:r>
        <w:rPr>
          <w:bCs/>
          <w:b/>
        </w:rPr>
        <w:t xml:space="preserve">Liability:</w:t>
      </w:r>
      <w:r>
        <w:t xml:space="preserve"> </w:t>
      </w:r>
      <w:r>
        <w:t xml:space="preserve">The Social Worker and Kyoto Social Services Consultancy Co., Ltd. shall maintain professional indemnity insurance with a minimum coverage of JPY 100,000,000 throughout the contract period.</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under the jurisdiction of the Kyoto District Court, Japan.</w:t>
      </w:r>
    </w:p>
    <w:p>
      <w:pPr>
        <w:numPr>
          <w:ilvl w:val="0"/>
          <w:numId w:val="1001"/>
        </w:numPr>
        <w:pStyle w:val="Compact"/>
      </w:pPr>
      <w:r>
        <w:rPr>
          <w:bCs/>
          <w:b/>
        </w:rPr>
        <w:t xml:space="preserve">Force Majeure:</w:t>
      </w:r>
      <w:r>
        <w:t xml:space="preserve"> </w:t>
      </w:r>
      <w:r>
        <w:t xml:space="preserve">Neither party shall be liable for delays or non-performance caused by natural disasters, government-mandated closures, or other events beyond reasonable control, as commonly experienced in the Japan Kyoto region.</w:t>
      </w:r>
    </w:p>
    <w:bookmarkEnd w:id="24"/>
    <w:bookmarkStart w:id="25" w:name="acceptance-and-authorisation"/>
    <w:p>
      <w:pPr>
        <w:pStyle w:val="Heading3"/>
      </w:pPr>
      <w:r>
        <w:t xml:space="preserve">4. Acceptance and Authorisation</w:t>
      </w:r>
    </w:p>
    <w:p>
      <w:pPr>
        <w:pStyle w:val="FirstParagraph"/>
      </w:pPr>
      <w:r>
        <w:t xml:space="preserve">By signing below, the client acknowledges receipt of this Quotation Estimate and agrees to the terms, conditions, and cost structure outlined herein for the engagement of the Social Worker in Japan Kyoto. This document constitutes a binding proposal upon countersignature by both parties.</w:t>
      </w:r>
    </w:p>
    <w:p>
      <w:pPr>
        <w:pStyle w:val="BodyText"/>
      </w:pPr>
      <w:r>
        <w:rPr>
          <w:bCs/>
          <w:b/>
        </w:rPr>
        <w:t xml:space="preserve">For Kyoto Social Services Consultancy Co., Ltd.</w:t>
      </w:r>
    </w:p>
    <w:p>
      <w:pPr>
        <w:pStyle w:val="BodyText"/>
      </w:pPr>
      <w:r>
        <w:t xml:space="preserve">Name: Haruki Tanaka</w:t>
      </w:r>
    </w:p>
    <w:p>
      <w:pPr>
        <w:pStyle w:val="BodyText"/>
      </w:pPr>
      <w:r>
        <w:t xml:space="preserve">Title: Senior Social Worker &amp; Service Coordinator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(Kyoto Municipal Welfare Bureau)</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Kyoto Social Services Consultancy Co., Ltd. | 2-3-15 Shijo-dori, Nakagyo-ku, Kyoto 604-8152, Japan</w:t>
      </w:r>
    </w:p>
    <w:p>
      <w:pPr>
        <w:pStyle w:val="BodyText"/>
      </w:pPr>
      <w:r>
        <w:t xml:space="preserve">Tel: +81-75-000-0000 | Email: enquiries@kyoto-socialservices.jp | Registered in Japan under the Social Welfare Services Act</w:t>
      </w:r>
    </w:p>
    <w:p>
      <w:pPr>
        <w:pStyle w:val="BodyText"/>
      </w:pPr>
      <w:r>
        <w:t xml:space="preserve">This Quotation Estimate is the property of Kyoto Social Services Consultancy Co., Ltd. and is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Japan Kyoto</dc:title>
  <dc:creator/>
  <dc:language>en</dc:language>
  <cp:keywords/>
  <dcterms:created xsi:type="dcterms:W3CDTF">2026-10-10T07:01:11Z</dcterms:created>
  <dcterms:modified xsi:type="dcterms:W3CDTF">2026-10-10T07:01:11Z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