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Harmony Community Services Sdn. Bhd.</w:t>
      </w:r>
    </w:p>
    <w:p>
      <w:pPr>
        <w:pStyle w:val="BodyText"/>
      </w:pPr>
      <w:r>
        <w:t xml:space="preserve">Level 12, Menara Sentral, Jalan Stesen Sentral 5, 50470</w:t>
      </w:r>
      <w:r>
        <w:t xml:space="preserve"> </w:t>
      </w:r>
      <w:r>
        <w:t xml:space="preserve">Malaysia Kuala Lumpur</w:t>
      </w:r>
    </w:p>
    <w:p>
      <w:pPr>
        <w:pStyle w:val="BodyText"/>
      </w:pPr>
      <w:r>
        <w:t xml:space="preserve">Registration No.: 201901045678 (K) | Tel: +603-2181-4567 | Email: enquiries@harmonycs.com.my</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QTE-2025-KL-0847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 Organisation Name]</w:t>
      </w:r>
      <w:r>
        <w:br/>
      </w:r>
      <w:r>
        <w:rPr>
          <w:bCs/>
          <w:b/>
        </w:rPr>
        <w:t xml:space="preserve">Address:</w:t>
      </w:r>
      <w:r>
        <w:t xml:space="preserve"> </w:t>
      </w:r>
      <w:r>
        <w:t xml:space="preserve">[Client Address],</w:t>
      </w:r>
      <w:r>
        <w:t xml:space="preserve"> </w:t>
      </w:r>
      <w:r>
        <w:t xml:space="preserve">Malaysia Kuala Lumpur</w:t>
      </w:r>
      <w:r>
        <w:br/>
      </w:r>
      <w:r>
        <w:rPr>
          <w:bCs/>
          <w:b/>
        </w:rPr>
        <w:t xml:space="preserve">Contact:</w:t>
      </w:r>
      <w:r>
        <w:t xml:space="preserve"> </w:t>
      </w:r>
      <w:r>
        <w:t xml:space="preserve">[Phone /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Harmony Community Services Sdn. Bhd. to provide a comprehensive and transparent breakdown of costs associated with the engagement of a qualified</w:t>
      </w:r>
      <w:r>
        <w:t xml:space="preserve"> </w:t>
      </w:r>
      <w:r>
        <w:t xml:space="preserve">Social Worker</w:t>
      </w:r>
      <w:r>
        <w:t xml:space="preserve"> </w:t>
      </w:r>
      <w:r>
        <w:t xml:space="preserve">professional. The services described herein are specifically tailored for deployment within the</w:t>
      </w:r>
      <w:r>
        <w:t xml:space="preserve"> </w:t>
      </w:r>
      <w:r>
        <w:t xml:space="preserve">Malaysia Kuala Lumpur</w:t>
      </w:r>
      <w:r>
        <w:t xml:space="preserve"> </w:t>
      </w:r>
      <w:r>
        <w:t xml:space="preserve">metropolitan area, covering all administrative, operational, and professional fees in accordance with the Malaysian Social Welfare Act 2010 (Act 713) and the regulations set forth by the Department of Social Welfare (Jabatan Kebajikan Masyarakat, JKM) of the Ministry of Women, Family and Community Development.</w:t>
      </w:r>
    </w:p>
    <w:p>
      <w:pPr>
        <w:pStyle w:val="BodyText"/>
      </w:pPr>
      <w:r>
        <w:t xml:space="preserve">This</w:t>
      </w:r>
      <w:r>
        <w:t xml:space="preserve"> </w:t>
      </w:r>
      <w:r>
        <w:t xml:space="preserve">Quotation Estimate</w:t>
      </w:r>
      <w:r>
        <w:t xml:space="preserve"> </w:t>
      </w:r>
      <w:r>
        <w:t xml:space="preserve">serves as a formal proposal and does not constitute a binding contract until both parties have reviewed, agreed upon, and executed the subsequent Service Agreement. All figures presented are in Malaysian Ringgit (MYR) and are subject to the terms and conditions outlined in Section 6 of this document.</w:t>
      </w:r>
    </w:p>
    <w:p>
      <w:pPr>
        <w:pStyle w:val="BodyText"/>
      </w:pPr>
      <w:r>
        <w:t xml:space="preserve">2. Scope of Social Worker Services</w:t>
      </w:r>
    </w:p>
    <w:p>
      <w:pPr>
        <w:pStyle w:val="BodyText"/>
      </w:pPr>
      <w:r>
        <w:t xml:space="preserve">The</w:t>
      </w:r>
      <w:r>
        <w:t xml:space="preserve"> </w:t>
      </w:r>
      <w:r>
        <w:t xml:space="preserve">Social Worker</w:t>
      </w:r>
      <w:r>
        <w:t xml:space="preserve"> </w:t>
      </w:r>
      <w:r>
        <w:t xml:space="preserve">engagement under this</w:t>
      </w:r>
      <w:r>
        <w:t xml:space="preserve"> </w:t>
      </w:r>
      <w:r>
        <w:t xml:space="preserve">Quotation Estimate</w:t>
      </w:r>
      <w:r>
        <w:t xml:space="preserve"> </w:t>
      </w:r>
      <w:r>
        <w:t xml:space="preserve">encompasses the following professional services to be delivered within the</w:t>
      </w:r>
      <w:r>
        <w:t xml:space="preserve"> </w:t>
      </w:r>
      <w:r>
        <w:t xml:space="preserve">Malaysia Kuala Lumpur</w:t>
      </w:r>
      <w:r>
        <w:t xml:space="preserve"> </w:t>
      </w:r>
      <w:r>
        <w:t xml:space="preserve">jurisdiction: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Initial Case Assessment &amp; Intake</w:t>
            </w:r>
            <w:r>
              <w:t xml:space="preserve"> </w:t>
            </w:r>
            <w:r>
              <w:t xml:space="preserve">– Comprehensive psychosocial assessment of the client or family unit, including background investigation, risk evaluation, and formulation of an individualised care plan. Conducted at the client's residence or a designated facility in</w:t>
            </w:r>
            <w:r>
              <w:t xml:space="preserve"> </w:t>
            </w:r>
            <w:r>
              <w:t xml:space="preserve">Malaysia Kuala Lumpur</w:t>
            </w:r>
            <w:r>
              <w:t xml:space="preserve">.</w:t>
            </w:r>
          </w:p>
        </w:tc>
        <w:tc>
          <w:tcPr/>
          <w:p>
            <w:pPr>
              <w:pStyle w:val="Compact"/>
              <w:jc w:val="left"/>
            </w:pPr>
            <w:r>
              <w:t xml:space="preserve">One-time (4 hours)</w:t>
            </w:r>
          </w:p>
        </w:tc>
        <w:tc>
          <w:tcPr/>
          <w:p>
            <w:pPr>
              <w:pStyle w:val="Compact"/>
              <w:jc w:val="left"/>
            </w:pPr>
            <w:r>
              <w:t xml:space="preserve">RM 850.00</w:t>
            </w:r>
          </w:p>
        </w:tc>
        <w:tc>
          <w:tcPr/>
          <w:p>
            <w:pPr>
              <w:pStyle w:val="Compact"/>
              <w:jc w:val="left"/>
            </w:pPr>
            <w:r>
              <w:t xml:space="preserve">RM 850.00</w:t>
            </w:r>
          </w:p>
        </w:tc>
      </w:tr>
      <w:tr>
        <w:tc>
          <w:tcPr/>
          <w:p>
            <w:pPr>
              <w:pStyle w:val="Compact"/>
              <w:jc w:val="left"/>
            </w:pPr>
            <w:r>
              <w:t xml:space="preserve">2</w:t>
            </w:r>
          </w:p>
        </w:tc>
        <w:tc>
          <w:tcPr/>
          <w:p>
            <w:pPr>
              <w:pStyle w:val="Compact"/>
              <w:jc w:val="left"/>
            </w:pPr>
            <w:r>
              <w:rPr>
                <w:bCs/>
                <w:b/>
              </w:rPr>
              <w:t xml:space="preserve">Ongoing Case Management &amp; Counselling</w:t>
            </w:r>
            <w:r>
              <w:t xml:space="preserve"> </w:t>
            </w:r>
            <w:r>
              <w:t xml:space="preserve">– Weekly one-on-one sessions with the</w:t>
            </w:r>
            <w:r>
              <w:t xml:space="preserve"> </w:t>
            </w:r>
            <w:r>
              <w:t xml:space="preserve">Social Worker</w:t>
            </w:r>
            <w:r>
              <w:t xml:space="preserve"> </w:t>
            </w:r>
            <w:r>
              <w:t xml:space="preserve">for therapeutic counselling, emotional support, and progress monitoring. Sessions held at our</w:t>
            </w:r>
            <w:r>
              <w:t xml:space="preserve"> </w:t>
            </w:r>
            <w:r>
              <w:t xml:space="preserve">Malaysia Kuala Lumpur</w:t>
            </w:r>
            <w:r>
              <w:t xml:space="preserve"> </w:t>
            </w:r>
            <w:r>
              <w:t xml:space="preserve">office or via approved telehealth platform.</w:t>
            </w:r>
          </w:p>
        </w:tc>
        <w:tc>
          <w:tcPr/>
          <w:p>
            <w:pPr>
              <w:pStyle w:val="Compact"/>
              <w:jc w:val="left"/>
            </w:pPr>
            <w:r>
              <w:t xml:space="preserve">12 sessions (1 hour each)</w:t>
            </w:r>
          </w:p>
        </w:tc>
        <w:tc>
          <w:tcPr/>
          <w:p>
            <w:pPr>
              <w:pStyle w:val="Compact"/>
              <w:jc w:val="left"/>
            </w:pPr>
            <w:r>
              <w:t xml:space="preserve">RM 350.00 / session</w:t>
            </w:r>
          </w:p>
        </w:tc>
        <w:tc>
          <w:tcPr/>
          <w:p>
            <w:pPr>
              <w:pStyle w:val="Compact"/>
              <w:jc w:val="left"/>
            </w:pPr>
            <w:r>
              <w:t xml:space="preserve">RM 4,200.00</w:t>
            </w:r>
          </w:p>
        </w:tc>
      </w:tr>
      <w:tr>
        <w:tc>
          <w:tcPr/>
          <w:p>
            <w:pPr>
              <w:pStyle w:val="Compact"/>
              <w:jc w:val="left"/>
            </w:pPr>
            <w:r>
              <w:t xml:space="preserve">3</w:t>
            </w:r>
          </w:p>
        </w:tc>
        <w:tc>
          <w:tcPr/>
          <w:p>
            <w:pPr>
              <w:pStyle w:val="Compact"/>
              <w:jc w:val="left"/>
            </w:pPr>
            <w:r>
              <w:rPr>
                <w:bCs/>
                <w:b/>
              </w:rPr>
              <w:t xml:space="preserve">Family &amp; Community Intervention</w:t>
            </w:r>
            <w:r>
              <w:t xml:space="preserve"> </w:t>
            </w:r>
            <w:r>
              <w:t xml:space="preserve">– Facilitation of family group sessions, coordination with extended family members, and linkage to community resources available in the</w:t>
            </w:r>
            <w:r>
              <w:t xml:space="preserve"> </w:t>
            </w:r>
            <w:r>
              <w:t xml:space="preserve">Malaysia Kuala Lumpur</w:t>
            </w:r>
            <w:r>
              <w:t xml:space="preserve"> </w:t>
            </w:r>
            <w:r>
              <w:t xml:space="preserve">area (including NGOs, religious institutions, and government welfare centres).</w:t>
            </w:r>
          </w:p>
        </w:tc>
        <w:tc>
          <w:tcPr/>
          <w:p>
            <w:pPr>
              <w:pStyle w:val="Compact"/>
              <w:jc w:val="left"/>
            </w:pPr>
            <w:r>
              <w:t xml:space="preserve">4 sessions (2 hours each)</w:t>
            </w:r>
          </w:p>
        </w:tc>
        <w:tc>
          <w:tcPr/>
          <w:p>
            <w:pPr>
              <w:pStyle w:val="Compact"/>
              <w:jc w:val="left"/>
            </w:pPr>
            <w:r>
              <w:t xml:space="preserve">RM 600.00 / session</w:t>
            </w:r>
          </w:p>
        </w:tc>
        <w:tc>
          <w:tcPr/>
          <w:p>
            <w:pPr>
              <w:pStyle w:val="Compact"/>
              <w:jc w:val="left"/>
            </w:pPr>
            <w:r>
              <w:t xml:space="preserve">RM 2,400.00</w:t>
            </w:r>
          </w:p>
        </w:tc>
      </w:tr>
      <w:tr>
        <w:tc>
          <w:tcPr/>
          <w:p>
            <w:pPr>
              <w:pStyle w:val="Compact"/>
              <w:jc w:val="left"/>
            </w:pPr>
            <w:r>
              <w:t xml:space="preserve">4</w:t>
            </w:r>
          </w:p>
        </w:tc>
        <w:tc>
          <w:tcPr/>
          <w:p>
            <w:pPr>
              <w:pStyle w:val="Compact"/>
              <w:jc w:val="left"/>
            </w:pPr>
            <w:r>
              <w:rPr>
                <w:bCs/>
                <w:b/>
              </w:rPr>
              <w:t xml:space="preserve">Referral &amp; Advocacy Services</w:t>
            </w:r>
            <w:r>
              <w:t xml:space="preserve"> </w:t>
            </w:r>
            <w:r>
              <w:t xml:space="preserve">– The</w:t>
            </w:r>
          </w:p>
          <w:p>
            <w:pPr>
              <w:pStyle w:val="Compact"/>
              <w:jc w:val="left"/>
            </w:pPr>
            <w:r>
              <w:t xml:space="preserve">Social Worker will prepare and submit necessary documentation to relevant authorities in</w:t>
            </w:r>
            <w:r>
              <w:t xml:space="preserve"> </w:t>
            </w:r>
            <w:r>
              <w:t xml:space="preserve">Malaysia Kuala Lumpur</w:t>
            </w:r>
            <w:r>
              <w:t xml:space="preserve">, including but not limited to the Department of Social Welfare, the Malaysian Bar (for legal aid referrals), hospital social work departments, and educational institutions.</w:t>
            </w:r>
          </w:p>
        </w:tc>
        <w:tc>
          <w:tcPr/>
          <w:p>
            <w:pPr>
              <w:pStyle w:val="Compact"/>
              <w:jc w:val="left"/>
            </w:pPr>
            <w:r>
              <w:t xml:space="preserve">As required (up to 8 hours)</w:t>
            </w:r>
          </w:p>
        </w:tc>
        <w:tc>
          <w:tcPr/>
          <w:p>
            <w:pPr>
              <w:pStyle w:val="Compact"/>
              <w:jc w:val="left"/>
            </w:pPr>
            <w:r>
              <w:t xml:space="preserve">RM 250.00 / hour</w:t>
            </w:r>
          </w:p>
        </w:tc>
        <w:tc>
          <w:tcPr/>
          <w:p>
            <w:pPr>
              <w:pStyle w:val="Compact"/>
              <w:jc w:val="left"/>
            </w:pPr>
            <w:r>
              <w:t xml:space="preserve">RM 2,000.00</w:t>
            </w:r>
          </w:p>
        </w:tc>
      </w:tr>
      <w:tr>
        <w:tc>
          <w:tcPr/>
          <w:p>
            <w:pPr>
              <w:pStyle w:val="Compact"/>
              <w:jc w:val="left"/>
            </w:pPr>
            <w:r>
              <w:t xml:space="preserve">5</w:t>
            </w:r>
          </w:p>
        </w:tc>
        <w:tc>
          <w:tcPr/>
          <w:p>
            <w:pPr>
              <w:pStyle w:val="Compact"/>
              <w:jc w:val="left"/>
            </w:pPr>
            <w:r>
              <w:rPr>
                <w:bCs/>
                <w:b/>
              </w:rPr>
              <w:t xml:space="preserve">Progress Reporting &amp; Documentation</w:t>
            </w:r>
            <w:r>
              <w:t xml:space="preserve"> </w:t>
            </w:r>
            <w:r>
              <w:t xml:space="preserve">– Monthly written reports detailing the client's progress, challenges encountered, and recommendations for continued support. Reports are formatted in accordance with JKM standards for</w:t>
            </w:r>
            <w:r>
              <w:t xml:space="preserve"> </w:t>
            </w:r>
            <w:r>
              <w:t xml:space="preserve">Malaysia Kuala Lumpur</w:t>
            </w:r>
            <w:r>
              <w:t xml:space="preserve"> </w:t>
            </w:r>
            <w:r>
              <w:t xml:space="preserve">operations.</w:t>
            </w:r>
          </w:p>
        </w:tc>
        <w:tc>
          <w:tcPr/>
          <w:p>
            <w:pPr>
              <w:pStyle w:val="Compact"/>
              <w:jc w:val="left"/>
            </w:pPr>
            <w:r>
              <w:t xml:space="preserve">3 monthly reports</w:t>
            </w:r>
          </w:p>
        </w:tc>
        <w:tc>
          <w:tcPr/>
          <w:p>
            <w:pPr>
              <w:pStyle w:val="Compact"/>
              <w:jc w:val="left"/>
            </w:pPr>
            <w:r>
              <w:t xml:space="preserve">RM 400.00 / report</w:t>
            </w:r>
          </w:p>
        </w:tc>
        <w:tc>
          <w:tcPr/>
          <w:p>
            <w:pPr>
              <w:pStyle w:val="Compact"/>
              <w:jc w:val="left"/>
            </w:pPr>
            <w:r>
              <w:t xml:space="preserve">RM 1,200.00</w:t>
            </w:r>
          </w:p>
        </w:tc>
      </w:tr>
      <w:tr>
        <w:tc>
          <w:tcPr/>
          <w:p>
            <w:pPr>
              <w:pStyle w:val="Compact"/>
              <w:jc w:val="left"/>
            </w:pPr>
            <w:r>
              <w:t xml:space="preserve">6</w:t>
            </w:r>
          </w:p>
        </w:tc>
        <w:tc>
          <w:tcPr/>
          <w:p>
            <w:pPr>
              <w:pStyle w:val="Compact"/>
              <w:jc w:val="left"/>
            </w:pPr>
            <w:r>
              <w:rPr>
                <w:bCs/>
                <w:b/>
              </w:rPr>
              <w:t xml:space="preserve">Crisis Intervention &amp; Emergency Response</w:t>
            </w:r>
            <w:r>
              <w:t xml:space="preserve"> </w:t>
            </w:r>
            <w:r>
              <w:t xml:space="preserve">– Availability of the</w:t>
            </w:r>
            <w:r>
              <w:t xml:space="preserve"> </w:t>
            </w:r>
            <w:r>
              <w:t xml:space="preserve">Social Worker</w:t>
            </w:r>
            <w:r>
              <w:t xml:space="preserve"> </w:t>
            </w:r>
            <w:r>
              <w:t xml:space="preserve">for urgent crisis situations (e.g., domestic violence incidents, child protection emergencies, mental health crises) within the</w:t>
            </w:r>
            <w:r>
              <w:t xml:space="preserve"> </w:t>
            </w:r>
            <w:r>
              <w:t xml:space="preserve">Malaysia Kuala Lumpur</w:t>
            </w:r>
            <w:r>
              <w:t xml:space="preserve"> </w:t>
            </w:r>
            <w:r>
              <w:t xml:space="preserve">service area. Includes after-hours on-call standby.</w:t>
            </w:r>
          </w:p>
        </w:tc>
        <w:tc>
          <w:tcPr/>
          <w:p>
            <w:pPr>
              <w:pStyle w:val="Compact"/>
              <w:jc w:val="left"/>
            </w:pPr>
            <w:r>
              <w:t xml:space="preserve">Standby (up to 3 activations)</w:t>
            </w:r>
          </w:p>
        </w:tc>
        <w:tc>
          <w:tcPr/>
          <w:p>
            <w:pPr>
              <w:pStyle w:val="Compact"/>
              <w:jc w:val="left"/>
            </w:pPr>
            <w:r>
              <w:t xml:space="preserve">RM 500.00 / activation</w:t>
            </w:r>
          </w:p>
        </w:tc>
        <w:tc>
          <w:tcPr/>
          <w:p>
            <w:pPr>
              <w:pStyle w:val="Compact"/>
              <w:jc w:val="left"/>
            </w:pPr>
            <w:r>
              <w:t xml:space="preserve">RM 1,500.00</w:t>
            </w:r>
          </w:p>
        </w:tc>
      </w:tr>
      <w:tr>
        <w:tc>
          <w:tcPr/>
          <w:p>
            <w:pPr>
              <w:pStyle w:val="Compact"/>
              <w:jc w:val="left"/>
            </w:pPr>
            <w:r>
              <w:t xml:space="preserve">7</w:t>
            </w:r>
          </w:p>
        </w:tc>
        <w:tc>
          <w:tcPr/>
          <w:p>
            <w:pPr>
              <w:pStyle w:val="Compact"/>
              <w:jc w:val="left"/>
            </w:pPr>
            <w:r>
              <w:rPr>
                <w:bCs/>
                <w:b/>
              </w:rPr>
              <w:t xml:space="preserve">Administrative &amp; Coordination Fees</w:t>
            </w:r>
            <w:r>
              <w:t xml:space="preserve"> </w:t>
            </w:r>
            <w:r>
              <w:t xml:space="preserve">– Covers travel within</w:t>
            </w:r>
            <w:r>
              <w:t xml:space="preserve"> </w:t>
            </w:r>
            <w:r>
              <w:t xml:space="preserve">Malaysia Kuala Lumpur</w:t>
            </w:r>
            <w:r>
              <w:t xml:space="preserve">, use of professional tools, case management software, and general administrative overheads associated with the</w:t>
            </w:r>
            <w:r>
              <w:t xml:space="preserve"> </w:t>
            </w:r>
            <w:r>
              <w:t xml:space="preserve">Social Worker</w:t>
            </w:r>
            <w:r>
              <w:t xml:space="preserve"> </w:t>
            </w:r>
            <w:r>
              <w:t xml:space="preserve">engagement.</w:t>
            </w:r>
          </w:p>
        </w:tc>
        <w:tc>
          <w:tcPr/>
          <w:p>
            <w:pPr>
              <w:pStyle w:val="Compact"/>
              <w:jc w:val="left"/>
            </w:pPr>
            <w:r>
              <w:t xml:space="preserve">Flat fee</w:t>
            </w:r>
          </w:p>
        </w:tc>
        <w:tc>
          <w:tcPr/>
          <w:p>
            <w:pPr>
              <w:pStyle w:val="Compact"/>
              <w:jc w:val="left"/>
            </w:pPr>
            <w:r>
              <w:t xml:space="preserve">RM 1,000.00</w:t>
            </w:r>
          </w:p>
        </w:tc>
        <w:tc>
          <w:tcPr/>
          <w:p>
            <w:pPr>
              <w:pStyle w:val="Compact"/>
              <w:jc w:val="left"/>
            </w:pPr>
            <w:r>
              <w:t xml:space="preserve">RM 1,000.00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(Items 1 – 7)</w:t>
            </w:r>
          </w:p>
        </w:tc>
        <w:tc>
          <w:tcPr/>
          <w:p>
            <w:pPr>
              <w:pStyle w:val="Compact"/>
              <w:jc w:val="right"/>
            </w:pPr>
            <w:r>
              <w:rPr>
                <w:bCs/>
                <w:b/>
              </w:rPr>
              <w:t xml:space="preserve">RM 13,150.00</w:t>
            </w:r>
          </w:p>
        </w:tc>
      </w:tr>
      <w:tr>
        <w:tc>
          <w:tcPr/>
          <w:p>
            <w:pPr>
              <w:pStyle w:val="Compact"/>
              <w:jc w:val="left"/>
            </w:pPr>
            <w:r>
              <w:rPr>
                <w:bCs/>
                <w:b/>
              </w:rPr>
              <w:t xml:space="preserve">Sales &amp; Service Tax (SST) @ 6%</w:t>
            </w:r>
          </w:p>
        </w:tc>
        <w:tc>
          <w:tcPr/>
          <w:p>
            <w:pPr>
              <w:pStyle w:val="Compact"/>
              <w:jc w:val="right"/>
            </w:pPr>
            <w:r>
              <w:rPr>
                <w:bCs/>
                <w:b/>
              </w:rPr>
              <w:t xml:space="preserve">RM 789.00</w:t>
            </w:r>
          </w:p>
        </w:tc>
      </w:tr>
      <w:tr>
        <w:tc>
          <w:tcPr/>
          <w:p>
            <w:pPr>
              <w:pStyle w:val="Compact"/>
              <w:jc w:val="left"/>
            </w:pPr>
            <w:r>
              <w:rPr>
                <w:bCs/>
                <w:b/>
              </w:rPr>
              <w:t xml:space="preserve">TOTAL QUOTATION ESTIMATE AMOUNT</w:t>
            </w:r>
          </w:p>
        </w:tc>
        <w:tc>
          <w:tcPr/>
          <w:p>
            <w:pPr>
              <w:pStyle w:val="Compact"/>
              <w:jc w:val="right"/>
            </w:pPr>
            <w:r>
              <w:rPr>
                <w:bCs/>
                <w:b/>
              </w:rPr>
              <w:t xml:space="preserve">RM 13,939.00</w:t>
            </w:r>
          </w:p>
        </w:tc>
      </w:tr>
    </w:tbl>
    <w:p>
      <w:pPr>
        <w:pStyle w:val="BodyText"/>
      </w:pPr>
      <w:r>
        <w:rPr>
          <w:iCs/>
          <w:i/>
        </w:rPr>
        <w:t xml:space="preserve">Amount in words: Thirteen Thousand Nine Hundred and Thirty-Nine Ringgit Malaysia Only.</w:t>
      </w:r>
    </w:p>
    <w:p>
      <w:pPr>
        <w:pStyle w:val="BodyText"/>
      </w:pPr>
      <w:r>
        <w:t xml:space="preserve">4. Qualifications of the Social Worker</w:t>
      </w:r>
    </w:p>
    <w:p>
      <w:pPr>
        <w:pStyle w:val="BodyText"/>
      </w:pPr>
      <w:r>
        <w:t xml:space="preserve">The</w:t>
      </w:r>
      <w:r>
        <w:t xml:space="preserve"> </w:t>
      </w:r>
      <w:r>
        <w:t xml:space="preserve">Social Worker</w:t>
      </w:r>
      <w:r>
        <w:t xml:space="preserve"> </w:t>
      </w:r>
      <w:r>
        <w:t xml:space="preserve">assigned to this engagement holds a Bachelor's or Master's degree in Social Work from a recognised Malaysian institution (e.g., Universiti Malaya, Universiti Sains Malaysia, or Universiti Teknologi MARA) and is registered with the Malaysian Social Workers Association (MSWA). The professional has a minimum of five (5) years of practising experience in the</w:t>
      </w:r>
      <w:r>
        <w:t xml:space="preserve"> </w:t>
      </w:r>
      <w:r>
        <w:t xml:space="preserve">Malaysia Kuala Lumpur</w:t>
      </w:r>
      <w:r>
        <w:t xml:space="preserve"> </w:t>
      </w:r>
      <w:r>
        <w:t xml:space="preserve">community and is proficient in Bahasa Malaysia, English, and Mandarin. All</w:t>
      </w:r>
      <w:r>
        <w:t xml:space="preserve"> </w:t>
      </w:r>
      <w:r>
        <w:t xml:space="preserve">Social Worker</w:t>
      </w:r>
      <w:r>
        <w:t xml:space="preserve"> </w:t>
      </w:r>
      <w:r>
        <w:t xml:space="preserve">engagements are conducted in strict compliance with the Code of Ethics of the Malaysian Social Workers Association and the Personal Data Protection Act 2010 (PDPA).</w:t>
      </w:r>
    </w:p>
    <w:p>
      <w:pPr>
        <w:pStyle w:val="BodyText"/>
      </w:pPr>
      <w:r>
        <w:t xml:space="preserve">5. Payment Terms</w:t>
      </w:r>
    </w:p>
    <w:p>
      <w:pPr>
        <w:pStyle w:val="BodyText"/>
      </w:pPr>
      <w:r>
        <w:t xml:space="preserve">Payment for this</w:t>
      </w:r>
      <w:r>
        <w:t xml:space="preserve"> </w:t>
      </w:r>
      <w:r>
        <w:t xml:space="preserve">Quotation Estimate</w:t>
      </w:r>
      <w:r>
        <w:t xml:space="preserve"> </w:t>
      </w:r>
      <w:r>
        <w:t xml:space="preserve">shall be made as follows: a non-refundable deposit of thirty percent (30%) of the total amount (RM 4,181.70) is due upon acceptance of this</w:t>
      </w:r>
      <w:r>
        <w:t xml:space="preserve"> </w:t>
      </w:r>
      <w:r>
        <w:t xml:space="preserve">Quotation Estimate</w:t>
      </w:r>
      <w:r>
        <w:t xml:space="preserve">. The remaining seventy percent (70%) (RM 9,757.30) shall be payable in two equal instalments: fifty percent (50%) upon completion of the sixth (6th) counselling session, and the final fifty percent (50%) upon submission of the third and final progress report. All payments are to be made via bank transfer to the account of Harmony Community Services Sdn. Bhd. Payments are due within fourteen (14) calendar days of the invoice date. Late payments shall attract a penalty of two percent (2%) per month on the outstanding balance.</w:t>
      </w:r>
    </w:p>
    <w:p>
      <w:pPr>
        <w:pStyle w:val="BodyText"/>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w:t>
      </w:r>
      <w:r>
        <w:t xml:space="preserve"> </w:t>
      </w:r>
      <w:r>
        <w:t xml:space="preserve">Malaysia Kuala Lumpur</w:t>
      </w:r>
      <w:r>
        <w:t xml:space="preserve">.</w:t>
      </w:r>
    </w:p>
    <w:p>
      <w:pPr>
        <w:numPr>
          <w:ilvl w:val="0"/>
          <w:numId w:val="1001"/>
        </w:numPr>
        <w:pStyle w:val="Compact"/>
      </w:pPr>
      <w:r>
        <w:t xml:space="preserve">The</w:t>
      </w:r>
      <w:r>
        <w:t xml:space="preserve"> </w:t>
      </w:r>
      <w:r>
        <w:t xml:space="preserve">Social Worker</w:t>
      </w:r>
      <w:r>
        <w:t xml:space="preserve"> </w:t>
      </w:r>
      <w:r>
        <w:t xml:space="preserve">reserves the right to withdraw from the engagement if the client fails to provide necessary cooperation, access, or documentation as reasonably required for the delivery of services.</w:t>
      </w:r>
    </w:p>
    <w:p>
      <w:pPr>
        <w:numPr>
          <w:ilvl w:val="0"/>
          <w:numId w:val="1001"/>
        </w:numPr>
        <w:pStyle w:val="Compact"/>
      </w:pPr>
      <w:r>
        <w:t xml:space="preserve">All information shared during the course of the</w:t>
      </w:r>
      <w:r>
        <w:t xml:space="preserve"> </w:t>
      </w:r>
      <w:r>
        <w:t xml:space="preserve">Social Worker</w:t>
      </w:r>
      <w:r>
        <w:t xml:space="preserve"> </w:t>
      </w:r>
      <w:r>
        <w:t xml:space="preserve">engagement is subject to strict confidentiality as mandated by the Personal Data Protection Act 2010 and the professional ethical standards of the Malaysian social work profession.</w:t>
      </w:r>
    </w:p>
    <w:p>
      <w:pPr>
        <w:numPr>
          <w:ilvl w:val="0"/>
          <w:numId w:val="1001"/>
        </w:numPr>
        <w:pStyle w:val="Compact"/>
      </w:pPr>
      <w:r>
        <w:t xml:space="preserve">This</w:t>
      </w:r>
      <w:r>
        <w:t xml:space="preserve"> </w:t>
      </w:r>
      <w:r>
        <w:t xml:space="preserve">Quotation Estimate</w:t>
      </w:r>
      <w:r>
        <w:t xml:space="preserve"> </w:t>
      </w:r>
      <w:r>
        <w:t xml:space="preserve">does not include costs for court appearances, psychiatric evaluations, or medical treatments, which shall be quoted separately if required.</w:t>
      </w:r>
    </w:p>
    <w:p>
      <w:pPr>
        <w:numPr>
          <w:ilvl w:val="0"/>
          <w:numId w:val="1001"/>
        </w:numPr>
        <w:pStyle w:val="Compact"/>
      </w:pPr>
      <w:r>
        <w:t xml:space="preserve">Any additional services beyond the scope defined in Section 2 of this</w:t>
      </w:r>
      <w:r>
        <w:t xml:space="preserve"> </w:t>
      </w:r>
      <w:r>
        <w:t xml:space="preserve">Quotation Estimate</w:t>
      </w:r>
      <w:r>
        <w:t xml:space="preserve"> </w:t>
      </w:r>
      <w:r>
        <w:t xml:space="preserve">will be subject to a supplementary quotation approved in writing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Malaysia Kuala Lumpur</w:t>
      </w:r>
      <w:r>
        <w:t xml:space="preserve"> </w:t>
      </w:r>
      <w:r>
        <w:t xml:space="preserve">in accordance with the Mediation Act 2012, and failing that, through the courts of competent jurisdiction in</w:t>
      </w:r>
      <w:r>
        <w:t xml:space="preserve"> </w:t>
      </w:r>
      <w:r>
        <w:t xml:space="preserve">Malaysia Kuala Lumpur</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Malaysia. The</w:t>
      </w:r>
      <w:r>
        <w:t xml:space="preserve"> </w:t>
      </w:r>
      <w:r>
        <w:t xml:space="preserve">Social Worker</w:t>
      </w:r>
      <w:r>
        <w:t xml:space="preserve"> </w:t>
      </w:r>
      <w:r>
        <w:t xml:space="preserve">services are provided in accordance with the Social Welfare Act 2010 and all applicable federal and state regulations in force at the time of service delivery.</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rates set forth herein for the engagement of the</w:t>
      </w:r>
      <w:r>
        <w:t xml:space="preserve"> </w:t>
      </w:r>
      <w:r>
        <w:t xml:space="preserve">Social Worker</w:t>
      </w:r>
      <w:r>
        <w:t xml:space="preserve"> </w:t>
      </w:r>
      <w:r>
        <w:t xml:space="preserve">services in</w:t>
      </w:r>
      <w:r>
        <w:t xml:space="preserve"> </w:t>
      </w:r>
      <w:r>
        <w:t xml:space="preserve">Malaysia Kuala Lumpur</w:t>
      </w:r>
      <w:r>
        <w:t xml:space="preserve">. This acceptance does not constitute a final contract; a separate Service Agreement will be executed within seven (7) business days of acceptance.</w:t>
      </w:r>
    </w:p>
    <w:p>
      <w:pPr>
        <w:pStyle w:val="BodyText"/>
      </w:pPr>
      <w:r>
        <w:rPr>
          <w:bCs/>
          <w:b/>
        </w:rPr>
        <w:t xml:space="preserve">For and on behalf of Harmony Community Services Sdn. Bhd.</w:t>
      </w:r>
      <w:r>
        <w:br/>
      </w:r>
      <w:r>
        <w:t xml:space="preserve">Name: ___________________________</w:t>
      </w:r>
      <w:r>
        <w:br/>
      </w:r>
      <w:r>
        <w:t xml:space="preserve">Designation: Director / Authorised Signatory</w:t>
      </w:r>
      <w:r>
        <w:br/>
      </w:r>
      <w:r>
        <w:t xml:space="preserve">Date: ___________________________</w:t>
      </w:r>
    </w:p>
    <w:p>
      <w:pPr>
        <w:pStyle w:val="BodyText"/>
      </w:pPr>
      <w:r>
        <w:rPr>
          <w:bCs/>
          <w:b/>
        </w:rPr>
        <w:t xml:space="preserve">For and on behalf of the Client</w:t>
      </w:r>
      <w:r>
        <w:br/>
      </w:r>
      <w:r>
        <w:t xml:space="preserve">Name: ___________________________</w:t>
      </w:r>
      <w:r>
        <w:br/>
      </w:r>
      <w:r>
        <w:t xml:space="preserve">Designation: _______________________</w:t>
      </w:r>
      <w:r>
        <w:br/>
      </w:r>
      <w:r>
        <w:t xml:space="preserve">Date: ___________________________</w:t>
      </w:r>
    </w:p>
    <w:p>
      <w:pPr>
        <w:pStyle w:val="BodyText"/>
      </w:pPr>
      <w:r>
        <w:rPr>
          <w:bCs/>
          <w:b/>
        </w:rPr>
        <w:t xml:space="preserve">Harmony Community Services Sdn. Bhd.</w:t>
      </w:r>
      <w:r>
        <w:t xml:space="preserve"> </w:t>
      </w:r>
      <w:r>
        <w:t xml:space="preserve">| Level 12, Menara Sentral, Jalan Stesen Sentral 5, 50470</w:t>
      </w:r>
      <w:r>
        <w:t xml:space="preserve"> </w:t>
      </w:r>
      <w:r>
        <w:t xml:space="preserve">Malaysia Kuala Lumpur</w:t>
      </w:r>
    </w:p>
    <w:p>
      <w:pPr>
        <w:pStyle w:val="BodyText"/>
      </w:pPr>
      <w:r>
        <w:t xml:space="preserve">This</w:t>
      </w:r>
      <w:r>
        <w:t xml:space="preserve"> </w:t>
      </w:r>
      <w:r>
        <w:t xml:space="preserve">Quotation Estimate</w:t>
      </w:r>
      <w:r>
        <w:t xml:space="preserve"> </w:t>
      </w:r>
      <w:r>
        <w:t xml:space="preserve">(Ref: QTE-2025-KL-0847) is the property of Harmony Community Services Sdn. Bhd. and is intended solely for the named client.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Malaysia Kuala Lumpur</dc:title>
  <dc:creator/>
  <dc:language>en</dc:language>
  <cp:keywords/>
  <dcterms:created xsi:type="dcterms:W3CDTF">2026-10-10T03:47:04Z</dcterms:created>
  <dcterms:modified xsi:type="dcterms:W3CDTF">2026-10-10T03:47:04Z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