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Social</w:t>
      </w:r>
      <w:r>
        <w:t xml:space="preserve"> </w:t>
      </w:r>
      <w:r>
        <w:t xml:space="preserve">Worker</w:t>
      </w:r>
      <w:r>
        <w:t xml:space="preserve"> </w:t>
      </w:r>
      <w:r>
        <w:t xml:space="preserve">Services</w:t>
      </w:r>
      <w:r>
        <w:t xml:space="preserve"> </w:t>
      </w:r>
      <w:r>
        <w:t xml:space="preserve">-</w:t>
      </w:r>
      <w:r>
        <w:t xml:space="preserve"> </w:t>
      </w:r>
      <w:r>
        <w:t xml:space="preserve">Myanmar</w:t>
      </w:r>
      <w:r>
        <w:t xml:space="preserve"> </w:t>
      </w:r>
      <w:r>
        <w:t xml:space="preserve">Yangon</w:t>
      </w:r>
    </w:p>
    <w:bookmarkStart w:id="20" w:name="quotation-estimate"/>
    <w:p>
      <w:pPr>
        <w:pStyle w:val="Heading1"/>
      </w:pPr>
      <w:r>
        <w:t xml:space="preserve">QUOTATION ESTIMATE</w:t>
      </w:r>
    </w:p>
    <w:p>
      <w:pPr>
        <w:pStyle w:val="FirstParagraph"/>
      </w:pPr>
      <w:r>
        <w:rPr>
          <w:bCs/>
          <w:b/>
        </w:rPr>
        <w:t xml:space="preserve">Yangon Community Development &amp; Social Services Co., Ltd.</w:t>
      </w:r>
    </w:p>
    <w:p>
      <w:pPr>
        <w:pStyle w:val="BodyText"/>
      </w:pPr>
      <w:r>
        <w:t xml:space="preserve">25, 126 Street, Kamayut Township, Yangon, Myanmar</w:t>
      </w:r>
    </w:p>
    <w:p>
      <w:pPr>
        <w:pStyle w:val="BodyText"/>
      </w:pPr>
      <w:r>
        <w:t xml:space="preserve">Tel: +95-9-795-123-456 | Email: info@yangoncsd.com.mm</w:t>
      </w:r>
    </w:p>
    <w:p>
      <w:pPr>
        <w:pStyle w:val="BodyText"/>
      </w:pPr>
      <w:r>
        <w:t xml:space="preserve">Company Registration No: 20190123456 | TIN: 30101234567</w:t>
      </w:r>
    </w:p>
    <w:bookmarkEnd w:id="20"/>
    <w:p>
      <w:pPr>
        <w:pStyle w:val="BodyText"/>
      </w:pPr>
      <w:r>
        <w:rPr>
          <w:bCs/>
          <w:b/>
        </w:rPr>
        <w:t xml:space="preserve">Quotation No:</w:t>
      </w:r>
      <w:r>
        <w:t xml:space="preserve"> </w:t>
      </w:r>
      <w:r>
        <w:t xml:space="preserve">YCSD-QE-2025-0047</w:t>
      </w:r>
    </w:p>
    <w:p>
      <w:pPr>
        <w:pStyle w:val="BodyText"/>
      </w:pPr>
      <w:r>
        <w:rPr>
          <w:bCs/>
          <w:b/>
        </w:rPr>
        <w:t xml:space="preserve">Date of Issue:</w:t>
      </w:r>
      <w:r>
        <w:t xml:space="preserve"> </w:t>
      </w:r>
      <w:r>
        <w:t xml:space="preserve">15 June 2025</w:t>
      </w:r>
    </w:p>
    <w:p>
      <w:pPr>
        <w:pStyle w:val="BodyText"/>
      </w:pPr>
      <w:r>
        <w:rPr>
          <w:bCs/>
          <w:b/>
        </w:rPr>
        <w:t xml:space="preserve">Validity Period:</w:t>
      </w:r>
      <w:r>
        <w:t xml:space="preserve"> </w:t>
      </w:r>
      <w:r>
        <w:t xml:space="preserve">30 days from date of issue</w:t>
      </w:r>
    </w:p>
    <w:p>
      <w:pPr>
        <w:pStyle w:val="BodyText"/>
      </w:pPr>
      <w:r>
        <w:rPr>
          <w:bCs/>
          <w:b/>
        </w:rPr>
        <w:t xml:space="preserve">Prepared For:</w:t>
      </w:r>
    </w:p>
    <w:p>
      <w:pPr>
        <w:pStyle w:val="BodyText"/>
      </w:pPr>
      <w:r>
        <w:rPr>
          <w:bCs/>
          <w:b/>
        </w:rPr>
        <w:t xml:space="preserve">Client Name:</w:t>
      </w:r>
      <w:r>
        <w:t xml:space="preserve"> </w:t>
      </w:r>
      <w:r>
        <w:t xml:space="preserve">[Client Organization Name]</w:t>
      </w:r>
    </w:p>
    <w:p>
      <w:pPr>
        <w:pStyle w:val="BodyText"/>
      </w:pPr>
      <w:r>
        <w:rPr>
          <w:bCs/>
          <w:b/>
        </w:rPr>
        <w:t xml:space="preserve">Address:</w:t>
      </w:r>
      <w:r>
        <w:t xml:space="preserve"> </w:t>
      </w:r>
      <w:r>
        <w:t xml:space="preserve">[Client Address], Yangon, Myanmar</w:t>
      </w:r>
    </w:p>
    <w:p>
      <w:pPr>
        <w:pStyle w:val="BodyText"/>
      </w:pPr>
      <w:r>
        <w:rPr>
          <w:bCs/>
          <w:b/>
        </w:rPr>
        <w:t xml:space="preserve">Contact Person:</w:t>
      </w:r>
      <w:r>
        <w:t xml:space="preserve"> </w:t>
      </w:r>
      <w:r>
        <w:t xml:space="preserve">[Name &amp; Title]</w:t>
      </w:r>
    </w:p>
    <w:p>
      <w:pPr>
        <w:pStyle w:val="BodyText"/>
      </w:pPr>
      <w:r>
        <w:t xml:space="preserve">1. Purpose and Scope of This Quotation Estimate</w:t>
      </w:r>
    </w:p>
    <w:p>
      <w:pPr>
        <w:pStyle w:val="BodyText"/>
      </w:pPr>
      <w:r>
        <w:t xml:space="preserve">This Quotation Estimate is issued by Yangon Community Development &amp; Social Services Co., Ltd. to provide a comprehensive and itemized cost breakdown for the engagement of a qualified</w:t>
      </w:r>
      <w:r>
        <w:t xml:space="preserve"> </w:t>
      </w:r>
      <w:r>
        <w:rPr>
          <w:bCs/>
          <w:b/>
        </w:rPr>
        <w:t xml:space="preserve">Social Worker</w:t>
      </w:r>
      <w:r>
        <w:t xml:space="preserve"> </w:t>
      </w:r>
      <w:r>
        <w:t xml:space="preserve">to deliver professional social work services within the</w:t>
      </w:r>
      <w:r>
        <w:t xml:space="preserve"> </w:t>
      </w:r>
      <w:r>
        <w:rPr>
          <w:bCs/>
          <w:b/>
        </w:rPr>
        <w:t xml:space="preserve">Myanmar Yangon</w:t>
      </w:r>
      <w:r>
        <w:t xml:space="preserve"> </w:t>
      </w:r>
      <w:r>
        <w:t xml:space="preserve">metropolitan area. The Social Worker services outlined in this Quotation Estimate are designed to support vulnerable populations, facilitate community-based interventions, and coordinate multi-agency responses to social welfare needs across the Yangon Region. This document serves as a formal Quotation Estimate and does not constitute a binding contract until both parties have executed the final service agreement.</w:t>
      </w:r>
    </w:p>
    <w:p>
      <w:pPr>
        <w:pStyle w:val="BodyText"/>
      </w:pPr>
      <w:r>
        <w:t xml:space="preserve">2. Detailed Service Breakdown – Social Worker Engagement in Myanmar Yangon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No.</w:t>
            </w:r>
          </w:p>
        </w:tc>
        <w:tc>
          <w:tcPr/>
          <w:p>
            <w:pPr>
              <w:pStyle w:val="Compact"/>
              <w:jc w:val="left"/>
            </w:pPr>
            <w:r>
              <w:t xml:space="preserve">Service Description</w:t>
            </w:r>
          </w:p>
        </w:tc>
        <w:tc>
          <w:tcPr/>
          <w:p>
            <w:pPr>
              <w:pStyle w:val="Compact"/>
              <w:jc w:val="left"/>
            </w:pPr>
            <w:r>
              <w:t xml:space="preserve">Duration / Frequency</w:t>
            </w:r>
          </w:p>
        </w:tc>
        <w:tc>
          <w:tcPr/>
          <w:p>
            <w:pPr>
              <w:pStyle w:val="Compact"/>
              <w:jc w:val="left"/>
            </w:pPr>
            <w:r>
              <w:t xml:space="preserve">Unit</w:t>
            </w:r>
          </w:p>
        </w:tc>
        <w:tc>
          <w:tcPr/>
          <w:p>
            <w:pPr>
              <w:pStyle w:val="Compact"/>
              <w:jc w:val="left"/>
            </w:pPr>
            <w:r>
              <w:t xml:space="preserve">Unit Rate (MMK)</w:t>
            </w:r>
          </w:p>
        </w:tc>
        <w:tc>
          <w:tcPr/>
          <w:p>
            <w:pPr>
              <w:pStyle w:val="Compact"/>
              <w:jc w:val="left"/>
            </w:pPr>
            <w:r>
              <w:t xml:space="preserve">Amount (MMK)</w:t>
            </w:r>
          </w:p>
        </w:tc>
      </w:tr>
      <w:tr>
        <w:tc>
          <w:tcPr/>
          <w:p>
            <w:pPr>
              <w:pStyle w:val="Compact"/>
              <w:jc w:val="left"/>
            </w:pPr>
            <w:r>
              <w:t xml:space="preserve">1</w:t>
            </w:r>
          </w:p>
        </w:tc>
        <w:tc>
          <w:tcPr/>
          <w:p>
            <w:pPr>
              <w:pStyle w:val="Compact"/>
              <w:jc w:val="left"/>
            </w:pPr>
            <w:r>
              <w:t xml:space="preserve">Deployment of a licensed Social Worker (BSSW/MSW) for on-site community assessment and case management in Yangon Township</w:t>
            </w:r>
          </w:p>
        </w:tc>
        <w:tc>
          <w:tcPr/>
          <w:p>
            <w:pPr>
              <w:pStyle w:val="Compact"/>
              <w:jc w:val="left"/>
            </w:pPr>
            <w:r>
              <w:t xml:space="preserve">Full-time, 8 hrs/day, 5 days/week</w:t>
            </w:r>
          </w:p>
        </w:tc>
        <w:tc>
          <w:tcPr/>
          <w:p>
            <w:pPr>
              <w:pStyle w:val="Compact"/>
              <w:jc w:val="left"/>
            </w:pPr>
            <w:r>
              <w:t xml:space="preserve">Monthly</w:t>
            </w:r>
          </w:p>
        </w:tc>
        <w:tc>
          <w:tcPr/>
          <w:p>
            <w:pPr>
              <w:pStyle w:val="Compact"/>
              <w:jc w:val="left"/>
            </w:pPr>
            <w:r>
              <w:t xml:space="preserve">1,850,000</w:t>
            </w:r>
          </w:p>
        </w:tc>
        <w:tc>
          <w:tcPr/>
          <w:p>
            <w:pPr>
              <w:pStyle w:val="Compact"/>
              <w:jc w:val="left"/>
            </w:pPr>
            <w:r>
              <w:t xml:space="preserve">1,850,000</w:t>
            </w:r>
          </w:p>
        </w:tc>
      </w:tr>
      <w:tr>
        <w:tc>
          <w:tcPr/>
          <w:p>
            <w:pPr>
              <w:pStyle w:val="Compact"/>
              <w:jc w:val="left"/>
            </w:pPr>
            <w:r>
              <w:t xml:space="preserve">2</w:t>
            </w:r>
          </w:p>
        </w:tc>
        <w:tc>
          <w:tcPr/>
          <w:p>
            <w:pPr>
              <w:pStyle w:val="Compact"/>
              <w:jc w:val="left"/>
            </w:pPr>
            <w:r>
              <w:t xml:space="preserve">Conducting home visits and psychosocial assessments for at-risk families in the Myanmar Yangon urban and peri-urban zones</w:t>
            </w:r>
          </w:p>
        </w:tc>
        <w:tc>
          <w:tcPr/>
          <w:p>
            <w:pPr>
              <w:pStyle w:val="Compact"/>
              <w:jc w:val="left"/>
            </w:pPr>
            <w:r>
              <w:t xml:space="preserve">Up to 40 visits/month</w:t>
            </w:r>
          </w:p>
        </w:tc>
        <w:tc>
          <w:tcPr/>
          <w:p>
            <w:pPr>
              <w:pStyle w:val="Compact"/>
              <w:jc w:val="left"/>
            </w:pPr>
            <w:r>
              <w:t xml:space="preserve">Per visit</w:t>
            </w:r>
          </w:p>
        </w:tc>
        <w:tc>
          <w:tcPr/>
          <w:p>
            <w:pPr>
              <w:pStyle w:val="Compact"/>
              <w:jc w:val="left"/>
            </w:pPr>
            <w:r>
              <w:t xml:space="preserve">25,000</w:t>
            </w:r>
          </w:p>
        </w:tc>
        <w:tc>
          <w:tcPr/>
          <w:p>
            <w:pPr>
              <w:pStyle w:val="Compact"/>
              <w:jc w:val="left"/>
            </w:pPr>
            <w:r>
              <w:t xml:space="preserve">1,000,000</w:t>
            </w:r>
          </w:p>
        </w:tc>
      </w:tr>
      <w:tr>
        <w:tc>
          <w:tcPr/>
          <w:p>
            <w:pPr>
              <w:pStyle w:val="Compact"/>
              <w:jc w:val="left"/>
            </w:pPr>
            <w:r>
              <w:t xml:space="preserve">3</w:t>
            </w:r>
          </w:p>
        </w:tc>
        <w:tc>
          <w:tcPr/>
          <w:p>
            <w:pPr>
              <w:pStyle w:val="Compact"/>
              <w:jc w:val="left"/>
            </w:pPr>
            <w:r>
              <w:t xml:space="preserve">Facilitation of group counseling sessions and community support workshops for vulnerable groups (elderly, children, persons with disabilities)</w:t>
            </w:r>
          </w:p>
        </w:tc>
        <w:tc>
          <w:tcPr/>
          <w:p>
            <w:pPr>
              <w:pStyle w:val="Compact"/>
              <w:jc w:val="left"/>
            </w:pPr>
            <w:r>
              <w:t xml:space="preserve">2 sessions/week</w:t>
            </w:r>
          </w:p>
        </w:tc>
        <w:tc>
          <w:tcPr/>
          <w:p>
            <w:pPr>
              <w:pStyle w:val="Compact"/>
              <w:jc w:val="left"/>
            </w:pPr>
            <w:r>
              <w:t xml:space="preserve">Per session</w:t>
            </w:r>
          </w:p>
        </w:tc>
        <w:tc>
          <w:tcPr/>
          <w:p>
            <w:pPr>
              <w:pStyle w:val="Compact"/>
              <w:jc w:val="left"/>
            </w:pPr>
            <w:r>
              <w:t xml:space="preserve">150,000</w:t>
            </w:r>
          </w:p>
        </w:tc>
        <w:tc>
          <w:tcPr/>
          <w:p>
            <w:pPr>
              <w:pStyle w:val="Compact"/>
              <w:jc w:val="left"/>
            </w:pPr>
            <w:r>
              <w:t xml:space="preserve">1,200,000</w:t>
            </w:r>
          </w:p>
        </w:tc>
      </w:tr>
      <w:tr>
        <w:tc>
          <w:tcPr/>
          <w:p>
            <w:pPr>
              <w:pStyle w:val="Compact"/>
              <w:jc w:val="left"/>
            </w:pPr>
            <w:r>
              <w:t xml:space="preserve">4</w:t>
            </w:r>
          </w:p>
        </w:tc>
        <w:tc>
          <w:tcPr/>
          <w:p>
            <w:pPr>
              <w:pStyle w:val="Compact"/>
              <w:jc w:val="left"/>
            </w:pPr>
            <w:r>
              <w:t xml:space="preserve">Coordination with Myanmar Yangon local authorities, township social welfare offices, and NGOs for multi-agency case referrals</w:t>
            </w:r>
          </w:p>
        </w:tc>
        <w:tc>
          <w:tcPr/>
          <w:p>
            <w:pPr>
              <w:pStyle w:val="Compact"/>
              <w:jc w:val="left"/>
            </w:pPr>
            <w:r>
              <w:t xml:space="preserve">Ongoing</w:t>
            </w:r>
          </w:p>
        </w:tc>
        <w:tc>
          <w:tcPr/>
          <w:p>
            <w:pPr>
              <w:pStyle w:val="Compact"/>
              <w:jc w:val="left"/>
            </w:pPr>
            <w:r>
              <w:t xml:space="preserve">Monthly</w:t>
            </w:r>
          </w:p>
        </w:tc>
        <w:tc>
          <w:tcPr/>
          <w:p>
            <w:pPr>
              <w:pStyle w:val="Compact"/>
              <w:jc w:val="left"/>
            </w:pPr>
            <w:r>
              <w:t xml:space="preserve">350,000</w:t>
            </w:r>
          </w:p>
        </w:tc>
        <w:tc>
          <w:tcPr/>
          <w:p>
            <w:pPr>
              <w:pStyle w:val="Compact"/>
              <w:jc w:val="left"/>
            </w:pPr>
            <w:r>
              <w:t xml:space="preserve">350,000</w:t>
            </w:r>
          </w:p>
        </w:tc>
      </w:tr>
      <w:tr>
        <w:tc>
          <w:tcPr/>
          <w:p>
            <w:pPr>
              <w:pStyle w:val="Compact"/>
              <w:jc w:val="left"/>
            </w:pPr>
            <w:r>
              <w:t xml:space="preserve">5</w:t>
            </w:r>
          </w:p>
        </w:tc>
        <w:tc>
          <w:tcPr/>
          <w:p>
            <w:pPr>
              <w:pStyle w:val="Compact"/>
              <w:jc w:val="left"/>
            </w:pPr>
            <w:r>
              <w:t xml:space="preserve">Preparation of monthly progress reports, case documentation, and impact assessments for the client organization</w:t>
            </w:r>
          </w:p>
        </w:tc>
        <w:tc>
          <w:tcPr/>
          <w:p>
            <w:pPr>
              <w:pStyle w:val="Compact"/>
              <w:jc w:val="left"/>
            </w:pPr>
            <w:r>
              <w:t xml:space="preserve">Monthly</w:t>
            </w:r>
          </w:p>
        </w:tc>
        <w:tc>
          <w:tcPr/>
          <w:p>
            <w:pPr>
              <w:pStyle w:val="Compact"/>
              <w:jc w:val="left"/>
            </w:pPr>
            <w:r>
              <w:t xml:space="preserve">Per report</w:t>
            </w:r>
          </w:p>
        </w:tc>
        <w:tc>
          <w:tcPr/>
          <w:p>
            <w:pPr>
              <w:pStyle w:val="Compact"/>
              <w:jc w:val="left"/>
            </w:pPr>
            <w:r>
              <w:t xml:space="preserve">120,000</w:t>
            </w:r>
          </w:p>
        </w:tc>
        <w:tc>
          <w:tcPr/>
          <w:p>
            <w:pPr>
              <w:pStyle w:val="Compact"/>
              <w:jc w:val="left"/>
            </w:pPr>
            <w:r>
              <w:t xml:space="preserve">120,000</w:t>
            </w:r>
          </w:p>
        </w:tc>
      </w:tr>
      <w:tr>
        <w:tc>
          <w:tcPr/>
          <w:p>
            <w:pPr>
              <w:pStyle w:val="Compact"/>
              <w:jc w:val="left"/>
            </w:pPr>
            <w:r>
              <w:t xml:space="preserve">6</w:t>
            </w:r>
          </w:p>
        </w:tc>
        <w:tc>
          <w:tcPr/>
          <w:p>
            <w:pPr>
              <w:pStyle w:val="Compact"/>
              <w:jc w:val="left"/>
            </w:pPr>
            <w:r>
              <w:t xml:space="preserve">Emergency response and crisis intervention support by the Social Worker (on-call, up to 8 hours per month)</w:t>
            </w:r>
          </w:p>
        </w:tc>
        <w:tc>
          <w:tcPr/>
          <w:p>
            <w:pPr>
              <w:pStyle w:val="Compact"/>
              <w:jc w:val="left"/>
            </w:pPr>
            <w:r>
              <w:t xml:space="preserve">As needed</w:t>
            </w:r>
          </w:p>
        </w:tc>
        <w:tc>
          <w:tcPr/>
          <w:p>
            <w:pPr>
              <w:pStyle w:val="Compact"/>
              <w:jc w:val="left"/>
            </w:pPr>
            <w:r>
              <w:t xml:space="preserve">Per hour</w:t>
            </w:r>
          </w:p>
        </w:tc>
        <w:tc>
          <w:tcPr/>
          <w:p>
            <w:pPr>
              <w:pStyle w:val="Compact"/>
              <w:jc w:val="left"/>
            </w:pPr>
            <w:r>
              <w:t xml:space="preserve">50,000</w:t>
            </w:r>
          </w:p>
        </w:tc>
        <w:tc>
          <w:tcPr/>
          <w:p>
            <w:pPr>
              <w:pStyle w:val="Compact"/>
              <w:jc w:val="left"/>
            </w:pPr>
            <w:r>
              <w:t xml:space="preserve">400,000</w:t>
            </w:r>
          </w:p>
        </w:tc>
      </w:tr>
      <w:tr>
        <w:tc>
          <w:tcPr/>
          <w:p>
            <w:pPr>
              <w:pStyle w:val="Compact"/>
              <w:jc w:val="left"/>
            </w:pPr>
            <w:r>
              <w:t xml:space="preserve">7</w:t>
            </w:r>
          </w:p>
        </w:tc>
        <w:tc>
          <w:tcPr/>
          <w:p>
            <w:pPr>
              <w:pStyle w:val="Compact"/>
              <w:jc w:val="left"/>
            </w:pPr>
            <w:r>
              <w:t xml:space="preserve">Transportation and local travel expenses for the Social Worker within Myanmar Yangon (Kamayut, Insein, Hlaing, and surrounding townships)</w:t>
            </w:r>
          </w:p>
        </w:tc>
        <w:tc>
          <w:tcPr/>
          <w:p>
            <w:pPr>
              <w:pStyle w:val="Compact"/>
              <w:jc w:val="left"/>
            </w:pPr>
            <w:r>
              <w:t xml:space="preserve">Monthly</w:t>
            </w:r>
          </w:p>
        </w:tc>
        <w:tc>
          <w:tcPr/>
          <w:p>
            <w:pPr>
              <w:pStyle w:val="Compact"/>
              <w:jc w:val="left"/>
            </w:pPr>
            <w:r>
              <w:t xml:space="preserve">Monthly</w:t>
            </w:r>
          </w:p>
        </w:tc>
        <w:tc>
          <w:tcPr/>
          <w:p>
            <w:pPr>
              <w:pStyle w:val="Compact"/>
              <w:jc w:val="left"/>
            </w:pPr>
            <w:r>
              <w:t xml:space="preserve">200,000</w:t>
            </w:r>
          </w:p>
        </w:tc>
        <w:tc>
          <w:tcPr/>
          <w:p>
            <w:pPr>
              <w:pStyle w:val="Compact"/>
              <w:jc w:val="left"/>
            </w:pPr>
            <w:r>
              <w:t xml:space="preserve">200,000</w:t>
            </w:r>
          </w:p>
        </w:tc>
      </w:tr>
      <w:tr>
        <w:tc>
          <w:tcPr/>
          <w:p>
            <w:pPr>
              <w:pStyle w:val="Compact"/>
              <w:jc w:val="left"/>
            </w:pPr>
            <w:r>
              <w:t xml:space="preserve">8</w:t>
            </w:r>
          </w:p>
        </w:tc>
        <w:tc>
          <w:tcPr/>
          <w:p>
            <w:pPr>
              <w:pStyle w:val="Compact"/>
              <w:jc w:val="left"/>
            </w:pPr>
            <w:r>
              <w:t xml:space="preserve">Supervision and quality assurance by a Senior Social Worker (MSW) – bi-weekly review meetings</w:t>
            </w:r>
          </w:p>
        </w:tc>
        <w:tc>
          <w:tcPr/>
          <w:p>
            <w:pPr>
              <w:pStyle w:val="Compact"/>
              <w:jc w:val="left"/>
            </w:pPr>
            <w:r>
              <w:t xml:space="preserve">2x per month</w:t>
            </w:r>
          </w:p>
        </w:tc>
        <w:tc>
          <w:tcPr/>
          <w:p>
            <w:pPr>
              <w:pStyle w:val="Compact"/>
              <w:jc w:val="left"/>
            </w:pPr>
            <w:r>
              <w:t xml:space="preserve">Per meeting</w:t>
            </w:r>
          </w:p>
        </w:tc>
        <w:tc>
          <w:tcPr/>
          <w:p>
            <w:pPr>
              <w:pStyle w:val="Compact"/>
              <w:jc w:val="left"/>
            </w:pPr>
            <w:r>
              <w:t xml:space="preserve">100,000</w:t>
            </w:r>
          </w:p>
        </w:tc>
        <w:tc>
          <w:tcPr/>
          <w:p>
            <w:pPr>
              <w:pStyle w:val="Compact"/>
              <w:jc w:val="left"/>
            </w:pPr>
            <w:r>
              <w:t xml:space="preserve">200,000</w:t>
            </w:r>
          </w:p>
        </w:tc>
      </w:tr>
      <w:tr>
        <w:tc>
          <w:tcPr>
            <w:gridSpan w:val="5"/>
          </w:tcPr>
          <w:p>
            <w:pPr>
              <w:pStyle w:val="Compact"/>
              <w:jc w:val="right"/>
            </w:pPr>
            <w:r>
              <w:t xml:space="preserve">TOTAL QUOTATION ESTIMATE (Monthly)</w:t>
            </w:r>
          </w:p>
        </w:tc>
        <w:tc>
          <w:tcPr/>
          <w:p>
            <w:pPr>
              <w:pStyle w:val="Compact"/>
              <w:jc w:val="left"/>
            </w:pPr>
            <w:r>
              <w:t xml:space="preserve">5,420,000</w:t>
            </w:r>
          </w:p>
        </w:tc>
      </w:tr>
      <w:tr>
        <w:tc>
          <w:tcPr>
            <w:gridSpan w:val="5"/>
          </w:tcPr>
          <w:p>
            <w:pPr>
              <w:pStyle w:val="Compact"/>
              <w:jc w:val="right"/>
            </w:pPr>
            <w:r>
              <w:t xml:space="preserve">TOTAL QUOTATION ESTIMATE (6-Month Contract)</w:t>
            </w:r>
          </w:p>
        </w:tc>
        <w:tc>
          <w:tcPr/>
          <w:p>
            <w:pPr>
              <w:pStyle w:val="Compact"/>
              <w:jc w:val="left"/>
            </w:pPr>
            <w:r>
              <w:t xml:space="preserve">32,520,000</w:t>
            </w:r>
          </w:p>
        </w:tc>
      </w:tr>
    </w:tbl>
    <w:p>
      <w:pPr>
        <w:pStyle w:val="BodyText"/>
      </w:pPr>
      <w:r>
        <w:t xml:space="preserve">* All rates are quoted in Myanmar Kyat (MMK). Applicable taxes, if any, will be added as per Myanmar Revenue Department regulations. Exchange rate reference: 1 USD ≈ 5,100 MMK (as of June 2025).</w:t>
      </w:r>
    </w:p>
    <w:p>
      <w:pPr>
        <w:pStyle w:val="BodyText"/>
      </w:pPr>
      <w:r>
        <w:t xml:space="preserve">3. Qualifications of the Social Worker</w:t>
      </w:r>
    </w:p>
    <w:p>
      <w:pPr>
        <w:pStyle w:val="BodyText"/>
      </w:pPr>
      <w:r>
        <w:t xml:space="preserve">The Social Worker assigned under this Quotation Estimate shall hold a minimum of a Bachelor of Social Work (BSSW) degree from a recognized institution in Myanmar or an equivalent international qualification. For senior-level engagements, a Master of Social Work (MSW) is required. The Social Worker must be registered with the Myanmar Social Work Association and possess a valid professional license issued by the relevant Myanmar Yangon regional authority. Prior experience in community-based social work, child protection, elderly care, or disability inclusion within the Myanmar Yangon context is strongly preferred. Fluency in Burmese is mandatory; working proficiency in English is required for reporting purposes.</w:t>
      </w:r>
    </w:p>
    <w:p>
      <w:pPr>
        <w:pStyle w:val="BodyText"/>
      </w:pPr>
      <w:r>
        <w:t xml:space="preserve">4. Terms and Conditions of This Quotation Estimate</w:t>
      </w:r>
    </w:p>
    <w:p>
      <w:pPr>
        <w:numPr>
          <w:ilvl w:val="0"/>
          <w:numId w:val="1001"/>
        </w:numPr>
        <w:pStyle w:val="Compact"/>
      </w:pPr>
      <w:r>
        <w:t xml:space="preserve">This Quotation Estimate is valid for a period of thirty (30) calendar days from the date of issue. Beyond this period, rates may be subject to revision based on prevailing economic conditions in Myanmar Yangon.</w:t>
      </w:r>
    </w:p>
    <w:p>
      <w:pPr>
        <w:numPr>
          <w:ilvl w:val="0"/>
          <w:numId w:val="1001"/>
        </w:numPr>
        <w:pStyle w:val="Compact"/>
      </w:pPr>
      <w:r>
        <w:t xml:space="preserve">Payment terms: 50% advance payment upon contract signing, with the remaining 50% payable monthly in arrears within fifteen (15) days of each month's service delivery.</w:t>
      </w:r>
    </w:p>
    <w:p>
      <w:pPr>
        <w:numPr>
          <w:ilvl w:val="0"/>
          <w:numId w:val="1001"/>
        </w:numPr>
        <w:pStyle w:val="Compact"/>
      </w:pPr>
      <w:r>
        <w:t xml:space="preserve">The Social Worker shall adhere to the Myanmar Social Work Code of Ethics and all applicable laws of the Republic of the Union of Myanmar, including data protection and confidentiality regulations.</w:t>
      </w:r>
    </w:p>
    <w:p>
      <w:pPr>
        <w:numPr>
          <w:ilvl w:val="0"/>
          <w:numId w:val="1001"/>
        </w:numPr>
        <w:pStyle w:val="Compact"/>
      </w:pPr>
      <w:r>
        <w:t xml:space="preserve">Any additional services beyond the scope defined in this Quotation Estimate shall be subject to a separate written amendment and additional Quotation Estimate.</w:t>
      </w:r>
    </w:p>
    <w:p>
      <w:pPr>
        <w:numPr>
          <w:ilvl w:val="0"/>
          <w:numId w:val="1001"/>
        </w:numPr>
        <w:pStyle w:val="Compact"/>
      </w:pPr>
      <w:r>
        <w:t xml:space="preserve">Either party may terminate the engagement with thirty (30) days' written notice. In the event of early termination, fees for services rendered up to the termination date shall be payable in full.</w:t>
      </w:r>
    </w:p>
    <w:p>
      <w:pPr>
        <w:numPr>
          <w:ilvl w:val="0"/>
          <w:numId w:val="1001"/>
        </w:numPr>
        <w:pStyle w:val="Compact"/>
      </w:pPr>
      <w:r>
        <w:t xml:space="preserve">All case files, client records, and documentation generated by the Social Worker remain the property of the client organization. The Social Worker shall not disclose any confidential information without written consent.</w:t>
      </w:r>
    </w:p>
    <w:p>
      <w:pPr>
        <w:numPr>
          <w:ilvl w:val="0"/>
          <w:numId w:val="1001"/>
        </w:numPr>
        <w:pStyle w:val="Compact"/>
      </w:pPr>
      <w:r>
        <w:t xml:space="preserve">This Quotation Estimate is governed by the laws of the Republic of the Union of Myanmar. Any disputes shall be resolved through amicable negotiation, failing which, the Yangon Regional Court shall have jurisdiction.</w:t>
      </w:r>
    </w:p>
    <w:p>
      <w:pPr>
        <w:pStyle w:val="FirstParagraph"/>
      </w:pPr>
      <w:r>
        <w:rPr>
          <w:bCs/>
          <w:b/>
        </w:rPr>
        <w:t xml:space="preserve">Note:</w:t>
      </w:r>
      <w:r>
        <w:t xml:space="preserve"> </w:t>
      </w:r>
      <w:r>
        <w:t xml:space="preserve">This Quotation Estimate is prepared specifically for the delivery of Social Worker services in the Myanmar Yangon area. All service locations, travel arrangements, and community engagement activities are confined to the Yangon Region unless otherwise agreed in writing. The Social Worker will operate in compliance with all Myanmar government regulations regarding social service delivery, including registration with the Township Social Welfare Office in the relevant Yangon township.</w:t>
      </w:r>
    </w:p>
    <w:p>
      <w:pPr>
        <w:pStyle w:val="BodyText"/>
      </w:pPr>
      <w:r>
        <w:t xml:space="preserve">5. Acceptance and Authorization</w:t>
      </w:r>
    </w:p>
    <w:p>
      <w:pPr>
        <w:pStyle w:val="BodyText"/>
      </w:pPr>
      <w:r>
        <w:t xml:space="preserve">By signing below, the client acknowledges receipt of this Quotation Estimate for Social Worker services in Myanmar Yangon and agrees to the terms, conditions, and pricing outlined herein. This signature does not constitute a final contract but serves as acceptance of the Quotation Estimate for the purpose of initiating the formal service agreement process.</w:t>
      </w:r>
    </w:p>
    <w:p>
      <w:pPr>
        <w:pStyle w:val="BodyText"/>
      </w:pPr>
      <w:r>
        <w:rPr>
          <w:bCs/>
          <w:b/>
        </w:rPr>
        <w:t xml:space="preserve">For and on behalf of:</w:t>
      </w:r>
      <w:r>
        <w:br/>
      </w:r>
      <w:r>
        <w:t xml:space="preserve">Yangon Community Development &amp; Social Services Co., Ltd.</w:t>
      </w:r>
      <w:r>
        <w:br/>
      </w:r>
      <w:r>
        <w:br/>
      </w:r>
      <w:r>
        <w:t xml:space="preserve">Name: _________________________</w:t>
      </w:r>
      <w:r>
        <w:br/>
      </w:r>
      <w:r>
        <w:t xml:space="preserve">Title: Director / Authorized Signatory</w:t>
      </w:r>
      <w:r>
        <w:br/>
      </w:r>
      <w:r>
        <w:t xml:space="preserve">Date: _________________________</w:t>
      </w:r>
    </w:p>
    <w:p>
      <w:pPr>
        <w:pStyle w:val="BodyText"/>
      </w:pPr>
      <w:r>
        <w:rPr>
          <w:bCs/>
          <w:b/>
        </w:rPr>
        <w:t xml:space="preserve">Accepted by (Client):</w:t>
      </w:r>
      <w:r>
        <w:br/>
      </w:r>
      <w:r>
        <w:t xml:space="preserve">[Client Organization Name]</w:t>
      </w:r>
      <w:r>
        <w:br/>
      </w:r>
      <w:r>
        <w:br/>
      </w:r>
      <w:r>
        <w:t xml:space="preserve">Name: _________________________</w:t>
      </w:r>
      <w:r>
        <w:br/>
      </w:r>
      <w:r>
        <w:t xml:space="preserve">Title: _________________________</w:t>
      </w:r>
      <w:r>
        <w:br/>
      </w:r>
      <w:r>
        <w:t xml:space="preserve">Date: _________________________</w:t>
      </w:r>
    </w:p>
    <w:p>
      <w:pPr>
        <w:pStyle w:val="BodyText"/>
      </w:pPr>
      <w:r>
        <w:t xml:space="preserve">Quotation Estimate No. YCSD-QE-2025-0047 | Social Worker Services | Myanmar Yangon</w:t>
      </w:r>
    </w:p>
    <w:p>
      <w:pPr>
        <w:pStyle w:val="BodyText"/>
      </w:pPr>
      <w:r>
        <w:t xml:space="preserve">Yangon Community Development &amp; Social Services Co., Ltd. | 25, 126 Street, Kamayut Township, Yangon, Myanmar</w:t>
      </w:r>
    </w:p>
    <w:p>
      <w:pPr>
        <w:pStyle w:val="BodyText"/>
      </w:pPr>
      <w:r>
        <w:t xml:space="preserve">This document is confidential and intended solely for the named recipient. Unauthorized reproduction or distribution is prohibited.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Social Worker Services - Myanmar Yangon</dc:title>
  <dc:creator/>
  <dc:language>en</dc:language>
  <cp:keywords/>
  <dcterms:created xsi:type="dcterms:W3CDTF">2026-10-10T03:12:02Z</dcterms:created>
  <dcterms:modified xsi:type="dcterms:W3CDTF">2026-10-10T03:12:02Z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