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quotation-estimate"/>
    <w:p>
      <w:pPr>
        <w:pStyle w:val="Heading1"/>
      </w:pPr>
      <w:r>
        <w:t xml:space="preserve">QUOTATION ESTIMATE</w:t>
      </w:r>
    </w:p>
    <w:p>
      <w:pPr>
        <w:pStyle w:val="FirstParagraph"/>
      </w:pPr>
      <w:r>
        <w:t xml:space="preserve">Professional Social Worker Services — Philippines Manila</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QTE-SW-MNL-2025-0047</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Validity Period:</w:t>
            </w:r>
          </w:p>
        </w:tc>
        <w:tc>
          <w:tcPr/>
          <w:p>
            <w:pPr>
              <w:pStyle w:val="Compact"/>
              <w:jc w:val="left"/>
            </w:pPr>
            <w:r>
              <w:t xml:space="preserve">30 days from date of issue (until July 15, 2025)</w:t>
            </w:r>
          </w:p>
        </w:tc>
      </w:tr>
      <w:tr>
        <w:tc>
          <w:tcPr/>
          <w:p>
            <w:pPr>
              <w:pStyle w:val="Compact"/>
              <w:jc w:val="left"/>
            </w:pPr>
            <w:r>
              <w:t xml:space="preserve">Prepared By:</w:t>
            </w:r>
          </w:p>
        </w:tc>
        <w:tc>
          <w:tcPr/>
          <w:p>
            <w:pPr>
              <w:pStyle w:val="Compact"/>
              <w:jc w:val="left"/>
            </w:pPr>
            <w:r>
              <w:t xml:space="preserve">Ms. Maria L. Santos, LSW — Lead Social Worker, Cebu Pacific Social Services Inc.</w:t>
            </w:r>
          </w:p>
        </w:tc>
      </w:tr>
      <w:tr>
        <w:tc>
          <w:tcPr/>
          <w:p>
            <w:pPr>
              <w:pStyle w:val="Compact"/>
              <w:jc w:val="left"/>
            </w:pPr>
            <w:r>
              <w:t xml:space="preserve">Address:</w:t>
            </w:r>
          </w:p>
        </w:tc>
        <w:tc>
          <w:tcPr/>
          <w:p>
            <w:pPr>
              <w:pStyle w:val="Compact"/>
              <w:jc w:val="left"/>
            </w:pPr>
            <w:r>
              <w:t xml:space="preserve">128 Makati Avenue, 14th Floor, Makati City, Philippines Manila, 1200</w:t>
            </w:r>
          </w:p>
        </w:tc>
      </w:tr>
      <w:tr>
        <w:tc>
          <w:tcPr/>
          <w:p>
            <w:pPr>
              <w:pStyle w:val="Compact"/>
              <w:jc w:val="left"/>
            </w:pPr>
            <w:r>
              <w:t xml:space="preserve">Contact:</w:t>
            </w:r>
          </w:p>
        </w:tc>
        <w:tc>
          <w:tcPr/>
          <w:p>
            <w:pPr>
              <w:pStyle w:val="Compact"/>
              <w:jc w:val="left"/>
            </w:pPr>
            <w:r>
              <w:t xml:space="preserve">+63 (2) 8887-4521 | info@cpss-manila.ph</w:t>
            </w:r>
          </w:p>
        </w:tc>
      </w:tr>
      <w:tr>
        <w:tc>
          <w:tcPr/>
          <w:p>
            <w:pPr>
              <w:pStyle w:val="Compact"/>
              <w:jc w:val="left"/>
            </w:pPr>
            <w:r>
              <w:t xml:space="preserve">Prepared For:</w:t>
            </w:r>
          </w:p>
        </w:tc>
        <w:tc>
          <w:tcPr/>
          <w:p>
            <w:pPr>
              <w:pStyle w:val="Compact"/>
              <w:jc w:val="left"/>
            </w:pPr>
            <w:r>
              <w:t xml:space="preserve">Mr. Juan R. Dela Cruz — Operations Director, Barangay San Isidro Community Development Office, Quezon City, Philippines Manila</w:t>
            </w:r>
          </w:p>
        </w:tc>
      </w:tr>
    </w:tbl>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formally issued by Cebu Pacific Social Services Inc. to provide a comprehensive, itemized breakdown of costs associated with the engagement of a licensed</w:t>
      </w:r>
      <w:r>
        <w:t xml:space="preserve"> </w:t>
      </w:r>
      <w:r>
        <w:t xml:space="preserve">Social Worker</w:t>
      </w:r>
      <w:r>
        <w:t xml:space="preserve"> </w:t>
      </w:r>
      <w:r>
        <w:t xml:space="preserve">to deliver community-based social services within the Philippines Manila metropolitan area. The scope of this engagement covers a twelve-month service period commencing on August 1, 2025, and is designed to support the Barangay San Isidro Community Development Office in its ongoing programs for family welfare, child protection, elderly care coordination, and community mental health outreach.</w:t>
      </w:r>
    </w:p>
    <w:p>
      <w:pPr>
        <w:pStyle w:val="BodyText"/>
      </w:pPr>
      <w:r>
        <w:t xml:space="preserve">The</w:t>
      </w:r>
      <w:r>
        <w:t xml:space="preserve"> </w:t>
      </w:r>
      <w:r>
        <w:t xml:space="preserve">Social Worker</w:t>
      </w:r>
      <w:r>
        <w:t xml:space="preserve"> </w:t>
      </w:r>
      <w:r>
        <w:t xml:space="preserve">assigned under this Quotation Estimate shall hold a valid license issued by the Professional Regulation Commission (PRC) of the Philippines and shall possess a minimum of five (5) years of documented experience in community social work within the Philippines Manila region. All services rendered shall comply with the Social Work Act of the Philippines (Republic Act No. 8512) and the applicable local ordinances of the City of Manila and the National Capital Region (NCR).</w:t>
      </w:r>
    </w:p>
    <w:p>
      <w:pPr>
        <w:pStyle w:val="BodyText"/>
      </w:pPr>
      <w:r>
        <w:t xml:space="preserve">2. Itemized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Full-time Social Worker engagement for community assessment, case management, and family intervention programs in Philippines Manila barangays</w:t>
            </w:r>
          </w:p>
        </w:tc>
        <w:tc>
          <w:tcPr/>
          <w:p>
            <w:pPr>
              <w:pStyle w:val="Compact"/>
              <w:jc w:val="left"/>
            </w:pPr>
            <w:r>
              <w:t xml:space="preserve">12 months</w:t>
            </w:r>
          </w:p>
        </w:tc>
        <w:tc>
          <w:tcPr/>
          <w:p>
            <w:pPr>
              <w:pStyle w:val="Compact"/>
              <w:jc w:val="left"/>
            </w:pPr>
            <w:r>
              <w:t xml:space="preserve">45,000.00 / mo.</w:t>
            </w:r>
          </w:p>
        </w:tc>
        <w:tc>
          <w:tcPr/>
          <w:p>
            <w:pPr>
              <w:pStyle w:val="Compact"/>
              <w:jc w:val="left"/>
            </w:pPr>
            <w:r>
              <w:t xml:space="preserve">540,000.00</w:t>
            </w:r>
          </w:p>
        </w:tc>
      </w:tr>
      <w:tr>
        <w:tc>
          <w:tcPr/>
          <w:p>
            <w:pPr>
              <w:pStyle w:val="Compact"/>
              <w:jc w:val="left"/>
            </w:pPr>
            <w:r>
              <w:t xml:space="preserve">2</w:t>
            </w:r>
          </w:p>
        </w:tc>
        <w:tc>
          <w:tcPr/>
          <w:p>
            <w:pPr>
              <w:pStyle w:val="Compact"/>
              <w:jc w:val="left"/>
            </w:pPr>
            <w:r>
              <w:t xml:space="preserve">Weekly home visits and field assessments for at-risk families (minimum 15 visits per month across Philippines Manila districts)</w:t>
            </w:r>
          </w:p>
        </w:tc>
        <w:tc>
          <w:tcPr/>
          <w:p>
            <w:pPr>
              <w:pStyle w:val="Compact"/>
              <w:jc w:val="left"/>
            </w:pPr>
            <w:r>
              <w:t xml:space="preserve">12 months</w:t>
            </w:r>
          </w:p>
        </w:tc>
        <w:tc>
          <w:tcPr/>
          <w:p>
            <w:pPr>
              <w:pStyle w:val="Compact"/>
              <w:jc w:val="left"/>
            </w:pPr>
            <w:r>
              <w:t xml:space="preserve">8,500.00 / mo.</w:t>
            </w:r>
          </w:p>
        </w:tc>
        <w:tc>
          <w:tcPr/>
          <w:p>
            <w:pPr>
              <w:pStyle w:val="Compact"/>
              <w:jc w:val="left"/>
            </w:pPr>
            <w:r>
              <w:t xml:space="preserve">102,000.00</w:t>
            </w:r>
          </w:p>
        </w:tc>
      </w:tr>
      <w:tr>
        <w:tc>
          <w:tcPr/>
          <w:p>
            <w:pPr>
              <w:pStyle w:val="Compact"/>
              <w:jc w:val="left"/>
            </w:pPr>
            <w:r>
              <w:t xml:space="preserve">3</w:t>
            </w:r>
          </w:p>
        </w:tc>
        <w:tc>
          <w:tcPr/>
          <w:p>
            <w:pPr>
              <w:pStyle w:val="Compact"/>
              <w:jc w:val="left"/>
            </w:pPr>
            <w:r>
              <w:t xml:space="preserve">Group counseling and psycho-educational workshops for children, adolescents, and senior citizens (4 sessions per month)</w:t>
            </w:r>
          </w:p>
        </w:tc>
        <w:tc>
          <w:tcPr/>
          <w:p>
            <w:pPr>
              <w:pStyle w:val="Compact"/>
              <w:jc w:val="left"/>
            </w:pPr>
            <w:r>
              <w:t xml:space="preserve">12 months</w:t>
            </w:r>
          </w:p>
        </w:tc>
        <w:tc>
          <w:tcPr/>
          <w:p>
            <w:pPr>
              <w:pStyle w:val="Compact"/>
              <w:jc w:val="left"/>
            </w:pPr>
            <w:r>
              <w:t xml:space="preserve">12,000.00 / mo.</w:t>
            </w:r>
          </w:p>
        </w:tc>
        <w:tc>
          <w:tcPr/>
          <w:p>
            <w:pPr>
              <w:pStyle w:val="Compact"/>
              <w:jc w:val="left"/>
            </w:pPr>
            <w:r>
              <w:t xml:space="preserve">144,000.00</w:t>
            </w:r>
          </w:p>
        </w:tc>
      </w:tr>
      <w:tr>
        <w:tc>
          <w:tcPr/>
          <w:p>
            <w:pPr>
              <w:pStyle w:val="Compact"/>
              <w:jc w:val="left"/>
            </w:pPr>
            <w:r>
              <w:t xml:space="preserve">4</w:t>
            </w:r>
          </w:p>
        </w:tc>
        <w:tc>
          <w:tcPr/>
          <w:p>
            <w:pPr>
              <w:pStyle w:val="Compact"/>
              <w:jc w:val="left"/>
            </w:pPr>
            <w:r>
              <w:t xml:space="preserve">Coordination with local government units, NGOs, and health facilities within the Philippines Manila jurisdiction for multi-agency case conferences</w:t>
            </w:r>
          </w:p>
        </w:tc>
        <w:tc>
          <w:tcPr/>
          <w:p>
            <w:pPr>
              <w:pStyle w:val="Compact"/>
              <w:jc w:val="left"/>
            </w:pPr>
            <w:r>
              <w:t xml:space="preserve">12 months</w:t>
            </w:r>
          </w:p>
        </w:tc>
        <w:tc>
          <w:tcPr/>
          <w:p>
            <w:pPr>
              <w:pStyle w:val="Compact"/>
              <w:jc w:val="left"/>
            </w:pPr>
            <w:r>
              <w:t xml:space="preserve">6,500.00 / mo.</w:t>
            </w:r>
          </w:p>
        </w:tc>
        <w:tc>
          <w:tcPr/>
          <w:p>
            <w:pPr>
              <w:pStyle w:val="Compact"/>
              <w:jc w:val="left"/>
            </w:pPr>
            <w:r>
              <w:t xml:space="preserve">78,000.00</w:t>
            </w:r>
          </w:p>
        </w:tc>
      </w:tr>
      <w:tr>
        <w:tc>
          <w:tcPr/>
          <w:p>
            <w:pPr>
              <w:pStyle w:val="Compact"/>
              <w:jc w:val="left"/>
            </w:pPr>
            <w:r>
              <w:t xml:space="preserve">5</w:t>
            </w:r>
          </w:p>
        </w:tc>
        <w:tc>
          <w:tcPr/>
          <w:p>
            <w:pPr>
              <w:pStyle w:val="Compact"/>
              <w:jc w:val="left"/>
            </w:pPr>
            <w:r>
              <w:t xml:space="preserve">Preparation of monthly progress reports, case documentation, and annual impact assessment for the Social Worker program</w:t>
            </w:r>
          </w:p>
        </w:tc>
        <w:tc>
          <w:tcPr/>
          <w:p>
            <w:pPr>
              <w:pStyle w:val="Compact"/>
              <w:jc w:val="left"/>
            </w:pPr>
            <w:r>
              <w:t xml:space="preserve">12 months</w:t>
            </w:r>
          </w:p>
        </w:tc>
        <w:tc>
          <w:tcPr/>
          <w:p>
            <w:pPr>
              <w:pStyle w:val="Compact"/>
              <w:jc w:val="left"/>
            </w:pPr>
            <w:r>
              <w:t xml:space="preserve">4,000.00 / mo.</w:t>
            </w:r>
          </w:p>
        </w:tc>
        <w:tc>
          <w:tcPr/>
          <w:p>
            <w:pPr>
              <w:pStyle w:val="Compact"/>
              <w:jc w:val="left"/>
            </w:pPr>
            <w:r>
              <w:t xml:space="preserve">48,000.00</w:t>
            </w:r>
          </w:p>
        </w:tc>
      </w:tr>
      <w:tr>
        <w:tc>
          <w:tcPr/>
          <w:p>
            <w:pPr>
              <w:pStyle w:val="Compact"/>
              <w:jc w:val="left"/>
            </w:pPr>
            <w:r>
              <w:t xml:space="preserve">6</w:t>
            </w:r>
          </w:p>
        </w:tc>
        <w:tc>
          <w:tcPr/>
          <w:p>
            <w:pPr>
              <w:pStyle w:val="Compact"/>
              <w:jc w:val="left"/>
            </w:pPr>
            <w:r>
              <w:t xml:space="preserve">Emergency crisis intervention and on-call support (24/7 availability for critical incidents in Philippines Manila)</w:t>
            </w:r>
          </w:p>
        </w:tc>
        <w:tc>
          <w:tcPr/>
          <w:p>
            <w:pPr>
              <w:pStyle w:val="Compact"/>
              <w:jc w:val="left"/>
            </w:pPr>
            <w:r>
              <w:t xml:space="preserve">12 months</w:t>
            </w:r>
          </w:p>
        </w:tc>
        <w:tc>
          <w:tcPr/>
          <w:p>
            <w:pPr>
              <w:pStyle w:val="Compact"/>
              <w:jc w:val="left"/>
            </w:pPr>
            <w:r>
              <w:t xml:space="preserve">5,000.00 / mo.</w:t>
            </w:r>
          </w:p>
        </w:tc>
        <w:tc>
          <w:tcPr/>
          <w:p>
            <w:pPr>
              <w:pStyle w:val="Compact"/>
              <w:jc w:val="left"/>
            </w:pPr>
            <w:r>
              <w:t xml:space="preserve">60,000.00</w:t>
            </w:r>
          </w:p>
        </w:tc>
      </w:tr>
      <w:tr>
        <w:tc>
          <w:tcPr/>
          <w:p>
            <w:pPr>
              <w:pStyle w:val="Compact"/>
              <w:jc w:val="left"/>
            </w:pPr>
            <w:r>
              <w:t xml:space="preserve">7</w:t>
            </w:r>
          </w:p>
        </w:tc>
        <w:tc>
          <w:tcPr/>
          <w:p>
            <w:pPr>
              <w:pStyle w:val="Compact"/>
              <w:jc w:val="left"/>
            </w:pPr>
            <w:r>
              <w:t xml:space="preserve">Professional development, PRC continuing education units, and mandatory social work ethics training for the assigned Social Worker</w:t>
            </w:r>
          </w:p>
        </w:tc>
        <w:tc>
          <w:tcPr/>
          <w:p>
            <w:pPr>
              <w:pStyle w:val="Compact"/>
              <w:jc w:val="left"/>
            </w:pPr>
            <w:r>
              <w:t xml:space="preserve">12 months</w:t>
            </w:r>
          </w:p>
        </w:tc>
        <w:tc>
          <w:tcPr/>
          <w:p>
            <w:pPr>
              <w:pStyle w:val="Compact"/>
              <w:jc w:val="left"/>
            </w:pPr>
            <w:r>
              <w:t xml:space="preserve">3,500.00 / mo.</w:t>
            </w:r>
          </w:p>
        </w:tc>
        <w:tc>
          <w:tcPr/>
          <w:p>
            <w:pPr>
              <w:pStyle w:val="Compact"/>
              <w:jc w:val="left"/>
            </w:pPr>
            <w:r>
              <w:t xml:space="preserve">42,000.00</w:t>
            </w:r>
          </w:p>
        </w:tc>
      </w:tr>
      <w:tr>
        <w:tc>
          <w:tcPr/>
          <w:p>
            <w:pPr>
              <w:pStyle w:val="Compact"/>
              <w:jc w:val="left"/>
            </w:pPr>
            <w:r>
              <w:t xml:space="preserve">8</w:t>
            </w:r>
          </w:p>
        </w:tc>
        <w:tc>
          <w:tcPr/>
          <w:p>
            <w:pPr>
              <w:pStyle w:val="Compact"/>
              <w:jc w:val="left"/>
            </w:pPr>
            <w:r>
              <w:t xml:space="preserve">Administrative overhead, insurance coverage (SSS, PhilHealth, Pag-IBIG), and transportation allowance for fieldwork in Philippines Manila</w:t>
            </w:r>
          </w:p>
        </w:tc>
        <w:tc>
          <w:tcPr/>
          <w:p>
            <w:pPr>
              <w:pStyle w:val="Compact"/>
              <w:jc w:val="left"/>
            </w:pPr>
            <w:r>
              <w:t xml:space="preserve">12 months</w:t>
            </w:r>
          </w:p>
        </w:tc>
        <w:tc>
          <w:tcPr/>
          <w:p>
            <w:pPr>
              <w:pStyle w:val="Compact"/>
              <w:jc w:val="left"/>
            </w:pPr>
            <w:r>
              <w:t xml:space="preserve">7,500.00 / mo.</w:t>
            </w:r>
          </w:p>
        </w:tc>
        <w:tc>
          <w:tcPr/>
          <w:p>
            <w:pPr>
              <w:pStyle w:val="Compact"/>
              <w:jc w:val="left"/>
            </w:pPr>
            <w:r>
              <w:t xml:space="preserve">90,000.00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(PHP)</w:t>
            </w:r>
          </w:p>
        </w:tc>
        <w:tc>
          <w:tcPr/>
          <w:p>
            <w:pPr>
              <w:pStyle w:val="Compact"/>
              <w:jc w:val="left"/>
            </w:pPr>
            <w:r>
              <w:t xml:space="preserve">1,104,000.00</w:t>
            </w:r>
          </w:p>
        </w:tc>
      </w:tr>
      <w:tr>
        <w:tc>
          <w:tcPr/>
          <w:p>
            <w:pPr>
              <w:pStyle w:val="Compact"/>
              <w:jc w:val="left"/>
            </w:pPr>
            <w:r>
              <w:t xml:space="preserve">VAT (12%)</w:t>
            </w:r>
          </w:p>
        </w:tc>
        <w:tc>
          <w:tcPr/>
          <w:p>
            <w:pPr>
              <w:pStyle w:val="Compact"/>
              <w:jc w:val="left"/>
            </w:pPr>
            <w:r>
              <w:t xml:space="preserve">132,480.00</w:t>
            </w:r>
          </w:p>
        </w:tc>
      </w:tr>
      <w:tr>
        <w:tc>
          <w:tcPr/>
          <w:p>
            <w:pPr>
              <w:pStyle w:val="Compact"/>
              <w:jc w:val="left"/>
            </w:pPr>
            <w:r>
              <w:t xml:space="preserve">GRAND TOTAL (PHP)</w:t>
            </w:r>
          </w:p>
        </w:tc>
        <w:tc>
          <w:tcPr/>
          <w:p>
            <w:pPr>
              <w:pStyle w:val="Compact"/>
              <w:jc w:val="left"/>
            </w:pPr>
            <w:r>
              <w:t xml:space="preserve">1,236,480.00</w:t>
            </w:r>
          </w:p>
        </w:tc>
      </w:tr>
    </w:tbl>
    <w:p>
      <w:pPr>
        <w:pStyle w:val="BodyText"/>
      </w:pPr>
      <w:r>
        <w:rPr>
          <w:iCs/>
          <w:i/>
        </w:rPr>
        <w:t xml:space="preserve">Amount in words: One Million Two Hundred Thirty-Six Thousand Four Hundred Eighty Philippine Pesos and 00/100 only.</w:t>
      </w:r>
    </w:p>
    <w:p>
      <w:pPr>
        <w:pStyle w:val="BodyText"/>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and terms are subject to revision based on prevailing minimum wage adjustments in the Philippines Manila region and changes in the Social Worker professional fee schedule.</w:t>
      </w:r>
    </w:p>
    <w:p>
      <w:pPr>
        <w:numPr>
          <w:ilvl w:val="0"/>
          <w:numId w:val="1001"/>
        </w:numPr>
        <w:pStyle w:val="Compact"/>
      </w:pPr>
      <w:r>
        <w:t xml:space="preserve">Payment shall be made on a monthly basis, due on the 5th of each month, via bank transfer to the account designated by Cebu Pacific Social Services Inc. A 1.5% monthly surcharge shall apply to overdue payments.</w:t>
      </w:r>
    </w:p>
    <w:p>
      <w:pPr>
        <w:numPr>
          <w:ilvl w:val="0"/>
          <w:numId w:val="1001"/>
        </w:numPr>
        <w:pStyle w:val="Compact"/>
      </w:pPr>
      <w:r>
        <w:t xml:space="preserve">The assigned</w:t>
      </w:r>
      <w:r>
        <w:t xml:space="preserve"> </w:t>
      </w:r>
      <w:r>
        <w:t xml:space="preserve">Social Worker</w:t>
      </w:r>
      <w:r>
        <w:t xml:space="preserve"> </w:t>
      </w:r>
      <w:r>
        <w:t xml:space="preserve">shall report directly to the Barangay San Isidro Community Development Office and shall adhere to the Code of Ethics for Professional Social Workers in the Philippines as promulgated by the Philippine Association of Social Workers (PASW).</w:t>
      </w:r>
    </w:p>
    <w:p>
      <w:pPr>
        <w:numPr>
          <w:ilvl w:val="0"/>
          <w:numId w:val="1001"/>
        </w:numPr>
        <w:pStyle w:val="Compact"/>
      </w:pPr>
      <w:r>
        <w:t xml:space="preserve">All services shall be rendered within the geographic boundaries of the Philippines Manila metropolitan area, including but not limited to the cities of Manila, Quezon City, Makati, Pasig, and Mandaluyong. Travel beyond these boundaries shall be billed separately at a rate of PHP 150.00 per kilometer.</w:t>
      </w:r>
    </w:p>
    <w:p>
      <w:pPr>
        <w:numPr>
          <w:ilvl w:val="0"/>
          <w:numId w:val="1001"/>
        </w:numPr>
        <w:pStyle w:val="Compact"/>
      </w:pPr>
      <w:r>
        <w:t xml:space="preserve">The client reserves the right to request a replacement of the Social Worker with equivalent qualifications upon written notice of at least fifteen (15) days. No additional fee shall be charged for a single replacement during the contract term.</w:t>
      </w:r>
    </w:p>
    <w:p>
      <w:pPr>
        <w:numPr>
          <w:ilvl w:val="0"/>
          <w:numId w:val="1001"/>
        </w:numPr>
        <w:pStyle w:val="Compact"/>
      </w:pPr>
      <w:r>
        <w:t xml:space="preserve">Confidentiality of all client records, case files, and personal information handled by the Social Worker shall be maintained in strict accordance with the Data Privacy Act of 2012 (Republic Act No. 10173) of the Philippines.</w:t>
      </w:r>
    </w:p>
    <w:p>
      <w:pPr>
        <w:numPr>
          <w:ilvl w:val="0"/>
          <w:numId w:val="1001"/>
        </w:numPr>
        <w:pStyle w:val="Compact"/>
      </w:pPr>
      <w:r>
        <w:t xml:space="preserve">This Quotation Estimate does not constitute a binding contract until both parties have executed a formal Service Agreement. Acceptance of this Quotation Estimate shall be indicated by the signature and date below.</w:t>
      </w:r>
    </w:p>
    <w:p>
      <w:pPr>
        <w:numPr>
          <w:ilvl w:val="0"/>
          <w:numId w:val="1001"/>
        </w:numPr>
        <w:pStyle w:val="Compact"/>
      </w:pPr>
      <w:r>
        <w:t xml:space="preserve">Any disputes arising from the services described in this Quotation Estimate shall be resolved through amicable negotiation, and failing that, through the appropriate courts of the Philippines Manila jurisdiction.</w:t>
      </w:r>
    </w:p>
    <w:p>
      <w:pPr>
        <w:pStyle w:val="FirstParagraph"/>
      </w:pPr>
      <w:r>
        <w:t xml:space="preserve">4.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scope, and pricing outlined for the engagement of the</w:t>
      </w:r>
      <w:r>
        <w:t xml:space="preserve"> </w:t>
      </w:r>
      <w:r>
        <w:t xml:space="preserve">Social Worker</w:t>
      </w:r>
      <w:r>
        <w:t xml:space="preserve"> </w:t>
      </w:r>
      <w:r>
        <w:t xml:space="preserve">services in the Philippines Manila area.</w:t>
      </w:r>
    </w:p>
    <w:p>
      <w:pPr>
        <w:pStyle w:val="BodyText"/>
      </w:pPr>
      <w:r>
        <w:rPr>
          <w:bCs/>
          <w:b/>
        </w:rPr>
        <w:t xml:space="preserve">Prepared by:</w:t>
      </w:r>
      <w:r>
        <w:br/>
      </w:r>
      <w:r>
        <w:t xml:space="preserve">Ms. Maria L. Santos, LSW</w:t>
      </w:r>
      <w:r>
        <w:br/>
      </w:r>
      <w:r>
        <w:t xml:space="preserve">Lead Social Worker</w:t>
      </w:r>
      <w:r>
        <w:br/>
      </w:r>
      <w:r>
        <w:t xml:space="preserve">Cebu Pacific Social Services Inc.</w:t>
      </w:r>
      <w:r>
        <w:br/>
      </w:r>
      <w:r>
        <w:t xml:space="preserve">Date: _______________</w:t>
      </w:r>
    </w:p>
    <w:p>
      <w:pPr>
        <w:pStyle w:val="BodyText"/>
      </w:pPr>
      <w:r>
        <w:rPr>
          <w:bCs/>
          <w:b/>
        </w:rPr>
        <w:t xml:space="preserve">Accepted by:</w:t>
      </w:r>
      <w:r>
        <w:br/>
      </w:r>
      <w:r>
        <w:t xml:space="preserve">Mr. Juan R. Dela Cruz</w:t>
      </w:r>
      <w:r>
        <w:br/>
      </w:r>
      <w:r>
        <w:t xml:space="preserve">Operations Director</w:t>
      </w:r>
      <w:r>
        <w:br/>
      </w:r>
      <w:r>
        <w:t xml:space="preserve">Barangay San Isidro CDO</w:t>
      </w:r>
      <w:r>
        <w:br/>
      </w:r>
      <w:r>
        <w:t xml:space="preserve">Date: _______________</w:t>
      </w:r>
    </w:p>
    <w:p>
      <w:pPr>
        <w:pStyle w:val="BodyText"/>
      </w:pPr>
      <w:r>
        <w:t xml:space="preserve">This Quotation Estimate is the property of Cebu Pacific Social Services Inc. and is intended solely for the use of the addressee. Unauthorized reproduction or distribution is prohibited. For inquiries regarding this Social Worker service quotation in the Philippines Manila area, please contact our office at +63 (2) 8887-4521 or via email at info@cpss-manila.ph. © 2025 Cebu Pacific Social Services Inc.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Philippines Manila</dc:title>
  <dc:creator/>
  <dc:language>en</dc:language>
  <cp:keywords/>
  <dcterms:created xsi:type="dcterms:W3CDTF">2026-10-10T02:15:31Z</dcterms:created>
  <dcterms:modified xsi:type="dcterms:W3CDTF">2026-10-10T02:15:31Z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