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Social</w:t>
      </w:r>
      <w:r>
        <w:t xml:space="preserve"> </w:t>
      </w:r>
      <w:r>
        <w:t xml:space="preserve">Worker</w:t>
      </w:r>
      <w:r>
        <w:t xml:space="preserve"> </w:t>
      </w:r>
      <w:r>
        <w:t xml:space="preserve">Services</w:t>
      </w:r>
      <w:r>
        <w:t xml:space="preserve"> </w:t>
      </w:r>
      <w:r>
        <w:t xml:space="preserve">-</w:t>
      </w:r>
      <w:r>
        <w:t xml:space="preserve"> </w:t>
      </w:r>
      <w:r>
        <w:t xml:space="preserve">Russia</w:t>
      </w:r>
      <w:r>
        <w:t xml:space="preserve"> </w:t>
      </w:r>
      <w:r>
        <w:t xml:space="preserve">Moscow</w:t>
      </w:r>
    </w:p>
    <w:bookmarkStart w:id="20" w:name="quotation-estimate"/>
    <w:p>
      <w:pPr>
        <w:pStyle w:val="Heading1"/>
      </w:pPr>
      <w:r>
        <w:t xml:space="preserve">Quotation Estimate</w:t>
      </w:r>
    </w:p>
    <w:p>
      <w:pPr>
        <w:pStyle w:val="FirstParagraph"/>
      </w:pPr>
      <w:r>
        <w:rPr>
          <w:bCs/>
          <w:b/>
        </w:rPr>
        <w:t xml:space="preserve">Professional Social Worker Services</w:t>
      </w:r>
    </w:p>
    <w:p>
      <w:pPr>
        <w:pStyle w:val="BodyText"/>
      </w:pPr>
      <w:r>
        <w:t xml:space="preserve">Registered in Russia Moscow | License No. RU-MSK-SW-2024-0871</w:t>
      </w:r>
    </w:p>
    <w:p>
      <w:pPr>
        <w:pStyle w:val="BodyText"/>
      </w:pPr>
      <w:r>
        <w:t xml:space="preserve">Address: 12 Tverskaya Street, Building 3, Moscow, 125009, Russian Federation</w:t>
      </w:r>
    </w:p>
    <w:p>
      <w:pPr>
        <w:pStyle w:val="BodyText"/>
      </w:pPr>
      <w:r>
        <w:t xml:space="preserve">Tel: +7 (495) 123-4567 | Email: estimates@moscow-social-services.ru</w:t>
      </w:r>
    </w:p>
    <w:bookmarkEnd w:id="20"/>
    <w:p>
      <w:pPr>
        <w:pStyle w:val="BodyText"/>
      </w:pPr>
      <w:r>
        <w:rPr>
          <w:bCs/>
          <w:b/>
        </w:rPr>
        <w:t xml:space="preserve">Quotation No.:</w:t>
      </w:r>
      <w:r>
        <w:t xml:space="preserve"> </w:t>
      </w:r>
      <w:r>
        <w:t xml:space="preserve">QE-MSK-2025-0412</w:t>
      </w:r>
      <w:r>
        <w:br/>
      </w:r>
      <w:r>
        <w:rPr>
          <w:bCs/>
          <w:b/>
        </w:rPr>
        <w:t xml:space="preserve">Date Issued:</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For:</w:t>
      </w:r>
      <w:r>
        <w:br/>
      </w:r>
      <w:r>
        <w:t xml:space="preserve">Department of Social Affairs</w:t>
      </w:r>
      <w:r>
        <w:br/>
      </w:r>
      <w:r>
        <w:t xml:space="preserve">Moscow City Administration</w:t>
      </w:r>
      <w:r>
        <w:br/>
      </w:r>
      <w:r>
        <w:t xml:space="preserve">10 Krasnopresnenskaya Embankment</w:t>
      </w:r>
      <w:r>
        <w:br/>
      </w:r>
      <w:r>
        <w:t xml:space="preserve">Moscow, 123112, Russian Federation</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to provide a comprehensive and transparent breakdown of costs associated with the engagement of a certified</w:t>
      </w:r>
      <w:r>
        <w:t xml:space="preserve"> </w:t>
      </w:r>
      <w:r>
        <w:t xml:space="preserve">Social Worker</w:t>
      </w:r>
      <w:r>
        <w:t xml:space="preserve"> </w:t>
      </w:r>
      <w:r>
        <w:t xml:space="preserve">to deliver professional social support, case management, and community intervention services within the jurisdiction of</w:t>
      </w:r>
      <w:r>
        <w:t xml:space="preserve"> </w:t>
      </w:r>
      <w:r>
        <w:t xml:space="preserve">Russia Moscow</w:t>
      </w:r>
      <w:r>
        <w:t xml:space="preserve">. This document serves as a binding financial proposal and shall remain valid for thirty (30) calendar days from the date of issuance, in accordance with the procurement regulations of the Moscow City Government and the Federal Law of the Russian Federation on Social Services (No. 442-FZ of 28 December 2013).</w:t>
      </w:r>
    </w:p>
    <w:bookmarkEnd w:id="21"/>
    <w:bookmarkStart w:id="22" w:name="X55e3dc9697a116c3a3ddbddd089daa8a5eeffad"/>
    <w:p>
      <w:pPr>
        <w:pStyle w:val="Heading2"/>
      </w:pPr>
      <w:r>
        <w:t xml:space="preserve">2. Scope of Services – Social Worker Engagement</w:t>
      </w:r>
    </w:p>
    <w:p>
      <w:pPr>
        <w:pStyle w:val="FirstParagraph"/>
      </w:pPr>
      <w:r>
        <w:t xml:space="preserve">The</w:t>
      </w:r>
      <w:r>
        <w:t xml:space="preserve"> </w:t>
      </w:r>
      <w:r>
        <w:t xml:space="preserve">Social Worker</w:t>
      </w:r>
      <w:r>
        <w:t xml:space="preserve"> </w:t>
      </w:r>
      <w:r>
        <w:t xml:space="preserve">engaged under this</w:t>
      </w:r>
      <w:r>
        <w:t xml:space="preserve"> </w:t>
      </w:r>
      <w:r>
        <w:t xml:space="preserve">Quotation Estimate</w:t>
      </w:r>
      <w:r>
        <w:t xml:space="preserve"> </w:t>
      </w:r>
      <w:r>
        <w:t xml:space="preserve">shall provide the following professional services within the administrative boundaries of</w:t>
      </w:r>
      <w:r>
        <w:t xml:space="preserve"> </w:t>
      </w:r>
      <w:r>
        <w:t xml:space="preserve">Russia Moscow</w:t>
      </w:r>
      <w:r>
        <w:t xml:space="preserve">, including but not limited to the Central, Northern, Southern, Eastern, and Western Administrative Districts:</w:t>
      </w:r>
    </w:p>
    <w:p>
      <w:pPr>
        <w:numPr>
          <w:ilvl w:val="0"/>
          <w:numId w:val="1001"/>
        </w:numPr>
        <w:pStyle w:val="Compact"/>
      </w:pPr>
      <w:r>
        <w:t xml:space="preserve">Individual and family case assessment and intervention planning for vulnerable populations residing in Moscow residential districts.</w:t>
      </w:r>
    </w:p>
    <w:p>
      <w:pPr>
        <w:numPr>
          <w:ilvl w:val="0"/>
          <w:numId w:val="1001"/>
        </w:numPr>
        <w:pStyle w:val="Compact"/>
      </w:pPr>
      <w:r>
        <w:t xml:space="preserve">Coordination of social assistance programs in compliance with the Moscow City Social Support Code and federal directives issued by the Ministry of Labour and Social Protection of the Russian Federation.</w:t>
      </w:r>
    </w:p>
    <w:p>
      <w:pPr>
        <w:numPr>
          <w:ilvl w:val="0"/>
          <w:numId w:val="1001"/>
        </w:numPr>
        <w:pStyle w:val="Compact"/>
      </w:pPr>
      <w:r>
        <w:t xml:space="preserve">Crisis intervention and emergency social response for at-risk individuals, including elderly citizens, persons with disabilities, and children in difficult life situations.</w:t>
      </w:r>
    </w:p>
    <w:p>
      <w:pPr>
        <w:numPr>
          <w:ilvl w:val="0"/>
          <w:numId w:val="1001"/>
        </w:numPr>
        <w:pStyle w:val="Compact"/>
      </w:pPr>
      <w:r>
        <w:t xml:space="preserve">Community outreach and group facilitation sessions conducted in Russian, with optional English-language support for expatriate residents of Moscow.</w:t>
      </w:r>
    </w:p>
    <w:p>
      <w:pPr>
        <w:numPr>
          <w:ilvl w:val="0"/>
          <w:numId w:val="1001"/>
        </w:numPr>
        <w:pStyle w:val="Compact"/>
      </w:pPr>
      <w:r>
        <w:t xml:space="preserve">Documentation, reporting, and compliance auditing in alignment with the requirements of the Moscow City Social Protection Department.</w:t>
      </w:r>
    </w:p>
    <w:p>
      <w:pPr>
        <w:numPr>
          <w:ilvl w:val="0"/>
          <w:numId w:val="1001"/>
        </w:numPr>
        <w:pStyle w:val="Compact"/>
      </w:pPr>
      <w:r>
        <w:t xml:space="preserve">Referral management to specialized institutions across Russia Moscow, including psychiatric dispensaries, rehabilitation centres, and legal aid offices.</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Frequency</w:t>
            </w:r>
          </w:p>
        </w:tc>
        <w:tc>
          <w:tcPr/>
          <w:p>
            <w:pPr>
              <w:pStyle w:val="Compact"/>
              <w:jc w:val="left"/>
            </w:pPr>
            <w:r>
              <w:t xml:space="preserve">Unit Cost (RUB)</w:t>
            </w:r>
          </w:p>
        </w:tc>
        <w:tc>
          <w:tcPr/>
          <w:p>
            <w:pPr>
              <w:pStyle w:val="Compact"/>
              <w:jc w:val="left"/>
            </w:pPr>
            <w:r>
              <w:t xml:space="preserve">Total (RUB)</w:t>
            </w:r>
          </w:p>
        </w:tc>
      </w:tr>
      <w:tr>
        <w:tc>
          <w:tcPr/>
          <w:p>
            <w:pPr>
              <w:pStyle w:val="Compact"/>
              <w:jc w:val="left"/>
            </w:pPr>
            <w:r>
              <w:t xml:space="preserve">01</w:t>
            </w:r>
          </w:p>
        </w:tc>
        <w:tc>
          <w:tcPr/>
          <w:p>
            <w:pPr>
              <w:pStyle w:val="Compact"/>
              <w:jc w:val="left"/>
            </w:pPr>
            <w:r>
              <w:t xml:space="preserve">Senior Social Worker – Full-time engagement (40 hrs/week) for case management and direct client support in Russia Moscow</w:t>
            </w:r>
          </w:p>
        </w:tc>
        <w:tc>
          <w:tcPr/>
          <w:p>
            <w:pPr>
              <w:pStyle w:val="Compact"/>
              <w:jc w:val="left"/>
            </w:pPr>
            <w:r>
              <w:t xml:space="preserve">12 months</w:t>
            </w:r>
          </w:p>
        </w:tc>
        <w:tc>
          <w:tcPr/>
          <w:p>
            <w:pPr>
              <w:pStyle w:val="Compact"/>
              <w:jc w:val="left"/>
            </w:pPr>
            <w:r>
              <w:t xml:space="preserve">185,000 / month</w:t>
            </w:r>
          </w:p>
        </w:tc>
        <w:tc>
          <w:tcPr/>
          <w:p>
            <w:pPr>
              <w:pStyle w:val="Compact"/>
              <w:jc w:val="left"/>
            </w:pPr>
            <w:r>
              <w:t xml:space="preserve">2,220,000</w:t>
            </w:r>
          </w:p>
        </w:tc>
      </w:tr>
      <w:tr>
        <w:tc>
          <w:tcPr/>
          <w:p>
            <w:pPr>
              <w:pStyle w:val="Compact"/>
              <w:jc w:val="left"/>
            </w:pPr>
            <w:r>
              <w:t xml:space="preserve">02</w:t>
            </w:r>
          </w:p>
        </w:tc>
        <w:tc>
          <w:tcPr/>
          <w:p>
            <w:pPr>
              <w:pStyle w:val="Compact"/>
              <w:jc w:val="left"/>
            </w:pPr>
            <w:r>
              <w:t xml:space="preserve">Supervisory Social Worker – Part-time oversight (16 hrs/week) for quality assurance and regulatory compliance</w:t>
            </w:r>
          </w:p>
        </w:tc>
        <w:tc>
          <w:tcPr/>
          <w:p>
            <w:pPr>
              <w:pStyle w:val="Compact"/>
              <w:jc w:val="left"/>
            </w:pPr>
            <w:r>
              <w:t xml:space="preserve">12 months</w:t>
            </w:r>
          </w:p>
        </w:tc>
        <w:tc>
          <w:tcPr/>
          <w:p>
            <w:pPr>
              <w:pStyle w:val="Compact"/>
              <w:jc w:val="left"/>
            </w:pPr>
            <w:r>
              <w:t xml:space="preserve">95,000 / month</w:t>
            </w:r>
          </w:p>
        </w:tc>
        <w:tc>
          <w:tcPr/>
          <w:p>
            <w:pPr>
              <w:pStyle w:val="Compact"/>
              <w:jc w:val="left"/>
            </w:pPr>
            <w:r>
              <w:t xml:space="preserve">1,140,000</w:t>
            </w:r>
          </w:p>
        </w:tc>
      </w:tr>
      <w:tr>
        <w:tc>
          <w:tcPr/>
          <w:p>
            <w:pPr>
              <w:pStyle w:val="Compact"/>
              <w:jc w:val="left"/>
            </w:pPr>
            <w:r>
              <w:t xml:space="preserve">03</w:t>
            </w:r>
          </w:p>
        </w:tc>
        <w:tc>
          <w:tcPr/>
          <w:p>
            <w:pPr>
              <w:pStyle w:val="Compact"/>
              <w:jc w:val="left"/>
            </w:pPr>
            <w:r>
              <w:t xml:space="preserve">Community Outreach Program – Group sessions (4 sessions/month) across 6 Moscow districts</w:t>
            </w:r>
          </w:p>
        </w:tc>
        <w:tc>
          <w:tcPr/>
          <w:p>
            <w:pPr>
              <w:pStyle w:val="Compact"/>
              <w:jc w:val="left"/>
            </w:pPr>
            <w:r>
              <w:t xml:space="preserve">12 months</w:t>
            </w:r>
          </w:p>
        </w:tc>
        <w:tc>
          <w:tcPr/>
          <w:p>
            <w:pPr>
              <w:pStyle w:val="Compact"/>
              <w:jc w:val="left"/>
            </w:pPr>
            <w:r>
              <w:t xml:space="preserve">42,000 / session</w:t>
            </w:r>
          </w:p>
        </w:tc>
        <w:tc>
          <w:tcPr/>
          <w:p>
            <w:pPr>
              <w:pStyle w:val="Compact"/>
              <w:jc w:val="left"/>
            </w:pPr>
            <w:r>
              <w:t xml:space="preserve">2,016,000</w:t>
            </w:r>
          </w:p>
        </w:tc>
      </w:tr>
      <w:tr>
        <w:tc>
          <w:tcPr/>
          <w:p>
            <w:pPr>
              <w:pStyle w:val="Compact"/>
              <w:jc w:val="left"/>
            </w:pPr>
            <w:r>
              <w:t xml:space="preserve">04</w:t>
            </w:r>
          </w:p>
        </w:tc>
        <w:tc>
          <w:tcPr/>
          <w:p>
            <w:pPr>
              <w:pStyle w:val="Compact"/>
              <w:jc w:val="left"/>
            </w:pPr>
            <w:r>
              <w:t xml:space="preserve">Crisis Intervention Hotline – 24/7 telephone and in-person emergency response coverage</w:t>
            </w:r>
          </w:p>
        </w:tc>
        <w:tc>
          <w:tcPr/>
          <w:p>
            <w:pPr>
              <w:pStyle w:val="Compact"/>
              <w:jc w:val="left"/>
            </w:pPr>
            <w:r>
              <w:t xml:space="preserve">12 months</w:t>
            </w:r>
          </w:p>
        </w:tc>
        <w:tc>
          <w:tcPr/>
          <w:p>
            <w:pPr>
              <w:pStyle w:val="Compact"/>
              <w:jc w:val="left"/>
            </w:pPr>
            <w:r>
              <w:t xml:space="preserve">68,000 / month</w:t>
            </w:r>
          </w:p>
        </w:tc>
        <w:tc>
          <w:tcPr/>
          <w:p>
            <w:pPr>
              <w:pStyle w:val="Compact"/>
              <w:jc w:val="left"/>
            </w:pPr>
            <w:r>
              <w:t xml:space="preserve">816,000</w:t>
            </w:r>
          </w:p>
        </w:tc>
      </w:tr>
      <w:tr>
        <w:tc>
          <w:tcPr/>
          <w:p>
            <w:pPr>
              <w:pStyle w:val="Compact"/>
              <w:jc w:val="left"/>
            </w:pPr>
            <w:r>
              <w:t xml:space="preserve">05</w:t>
            </w:r>
          </w:p>
        </w:tc>
        <w:tc>
          <w:tcPr/>
          <w:p>
            <w:pPr>
              <w:pStyle w:val="Compact"/>
              <w:jc w:val="left"/>
            </w:pPr>
            <w:r>
              <w:t xml:space="preserve">Administrative &amp; Reporting – Monthly compliance reports to Moscow City Social Protection Department</w:t>
            </w:r>
          </w:p>
        </w:tc>
        <w:tc>
          <w:tcPr/>
          <w:p>
            <w:pPr>
              <w:pStyle w:val="Compact"/>
              <w:jc w:val="left"/>
            </w:pPr>
            <w:r>
              <w:t xml:space="preserve">12 months</w:t>
            </w:r>
          </w:p>
        </w:tc>
        <w:tc>
          <w:tcPr/>
          <w:p>
            <w:pPr>
              <w:pStyle w:val="Compact"/>
              <w:jc w:val="left"/>
            </w:pPr>
            <w:r>
              <w:t xml:space="preserve">18,000 / month</w:t>
            </w:r>
          </w:p>
        </w:tc>
        <w:tc>
          <w:tcPr/>
          <w:p>
            <w:pPr>
              <w:pStyle w:val="Compact"/>
              <w:jc w:val="left"/>
            </w:pPr>
            <w:r>
              <w:t xml:space="preserve">216,000</w:t>
            </w:r>
          </w:p>
        </w:tc>
      </w:tr>
      <w:tr>
        <w:tc>
          <w:tcPr/>
          <w:p>
            <w:pPr>
              <w:pStyle w:val="Compact"/>
              <w:jc w:val="left"/>
            </w:pPr>
            <w:r>
              <w:t xml:space="preserve">06</w:t>
            </w:r>
          </w:p>
        </w:tc>
        <w:tc>
          <w:tcPr/>
          <w:p>
            <w:pPr>
              <w:pStyle w:val="Compact"/>
              <w:jc w:val="left"/>
            </w:pPr>
            <w:r>
              <w:t xml:space="preserve">Professional Development – Annual certification renewal and continuing education for the Social Worker team</w:t>
            </w:r>
          </w:p>
        </w:tc>
        <w:tc>
          <w:tcPr/>
          <w:p>
            <w:pPr>
              <w:pStyle w:val="Compact"/>
              <w:jc w:val="left"/>
            </w:pPr>
            <w:r>
              <w:t xml:space="preserve">12 months</w:t>
            </w:r>
          </w:p>
        </w:tc>
        <w:tc>
          <w:tcPr/>
          <w:p>
            <w:pPr>
              <w:pStyle w:val="Compact"/>
              <w:jc w:val="left"/>
            </w:pPr>
            <w:r>
              <w:t xml:space="preserve">120,000 / year</w:t>
            </w:r>
          </w:p>
        </w:tc>
        <w:tc>
          <w:tcPr/>
          <w:p>
            <w:pPr>
              <w:pStyle w:val="Compact"/>
              <w:jc w:val="left"/>
            </w:pPr>
            <w:r>
              <w:t xml:space="preserve">120,000</w:t>
            </w:r>
          </w:p>
        </w:tc>
      </w:tr>
      <w:tr>
        <w:tc>
          <w:tcPr/>
          <w:p>
            <w:pPr>
              <w:pStyle w:val="Compact"/>
              <w:jc w:val="left"/>
            </w:pPr>
            <w:r>
              <w:t xml:space="preserve">07</w:t>
            </w:r>
          </w:p>
        </w:tc>
        <w:tc>
          <w:tcPr/>
          <w:p>
            <w:pPr>
              <w:pStyle w:val="Compact"/>
              <w:jc w:val="left"/>
            </w:pPr>
            <w:r>
              <w:t xml:space="preserve">Transportation &amp; Field Visits – Coverage of inter-district travel within Russia Moscow for home visits</w:t>
            </w:r>
          </w:p>
        </w:tc>
        <w:tc>
          <w:tcPr/>
          <w:p>
            <w:pPr>
              <w:pStyle w:val="Compact"/>
              <w:jc w:val="left"/>
            </w:pPr>
            <w:r>
              <w:t xml:space="preserve">12 months</w:t>
            </w:r>
          </w:p>
        </w:tc>
        <w:tc>
          <w:tcPr/>
          <w:p>
            <w:pPr>
              <w:pStyle w:val="Compact"/>
              <w:jc w:val="left"/>
            </w:pPr>
            <w:r>
              <w:t xml:space="preserve">25,000 / month</w:t>
            </w:r>
          </w:p>
        </w:tc>
        <w:tc>
          <w:tcPr/>
          <w:p>
            <w:pPr>
              <w:pStyle w:val="Compact"/>
              <w:jc w:val="left"/>
            </w:pPr>
            <w:r>
              <w:t xml:space="preserve">300,000</w:t>
            </w:r>
          </w:p>
        </w:tc>
      </w:tr>
      <w:tr>
        <w:tc>
          <w:tcPr>
            <w:gridSpan w:val="4"/>
          </w:tcPr>
          <w:p>
            <w:pPr>
              <w:pStyle w:val="Compact"/>
              <w:jc w:val="left"/>
            </w:pPr>
            <w:r>
              <w:t xml:space="preserve">TOTAL ESTIMATED COST (excluding VAT 20%)</w:t>
            </w:r>
          </w:p>
        </w:tc>
        <w:tc>
          <w:tcPr/>
          <w:p>
            <w:pPr>
              <w:pStyle w:val="Compact"/>
              <w:jc w:val="left"/>
            </w:pPr>
            <w:r>
              <w:t xml:space="preserve">6,828,000</w:t>
            </w:r>
          </w:p>
        </w:tc>
      </w:tr>
      <w:tr>
        <w:tc>
          <w:tcPr>
            <w:gridSpan w:val="4"/>
          </w:tcPr>
          <w:p>
            <w:pPr>
              <w:pStyle w:val="Compact"/>
              <w:jc w:val="left"/>
            </w:pPr>
            <w:r>
              <w:t xml:space="preserve">VAT (20%)</w:t>
            </w:r>
          </w:p>
        </w:tc>
        <w:tc>
          <w:tcPr/>
          <w:p>
            <w:pPr>
              <w:pStyle w:val="Compact"/>
              <w:jc w:val="left"/>
            </w:pPr>
            <w:r>
              <w:t xml:space="preserve">1,365,600</w:t>
            </w:r>
          </w:p>
        </w:tc>
      </w:tr>
      <w:tr>
        <w:tc>
          <w:tcPr>
            <w:gridSpan w:val="4"/>
          </w:tcPr>
          <w:p>
            <w:pPr>
              <w:pStyle w:val="Compact"/>
              <w:jc w:val="left"/>
            </w:pPr>
            <w:r>
              <w:t xml:space="preserve">GRAND TOTAL (RUB)</w:t>
            </w:r>
          </w:p>
        </w:tc>
        <w:tc>
          <w:tcPr/>
          <w:p>
            <w:pPr>
              <w:pStyle w:val="Compact"/>
              <w:jc w:val="left"/>
            </w:pPr>
            <w:r>
              <w:t xml:space="preserve">8,193,600</w:t>
            </w:r>
          </w:p>
        </w:tc>
      </w:tr>
    </w:tbl>
    <w:bookmarkEnd w:id="23"/>
    <w:bookmarkStart w:id="24" w:name="terms-and-conditions"/>
    <w:p>
      <w:pPr>
        <w:pStyle w:val="Heading2"/>
      </w:pPr>
      <w:r>
        <w:t xml:space="preserve">4. Terms and Conditions</w:t>
      </w:r>
    </w:p>
    <w:p>
      <w:pPr>
        <w:numPr>
          <w:ilvl w:val="0"/>
          <w:numId w:val="1002"/>
        </w:numPr>
        <w:pStyle w:val="Compact"/>
      </w:pPr>
      <w:r>
        <w:t xml:space="preserve">This</w:t>
      </w:r>
      <w:r>
        <w:t xml:space="preserve"> </w:t>
      </w:r>
      <w:r>
        <w:t xml:space="preserve">Quotation Estimate</w:t>
      </w:r>
      <w:r>
        <w:t xml:space="preserve"> </w:t>
      </w:r>
      <w:r>
        <w:t xml:space="preserve">is non-binding until formally accepted in writing by the authorized representative of the Moscow City Administration and countersigned by the service provider.</w:t>
      </w:r>
    </w:p>
    <w:p>
      <w:pPr>
        <w:numPr>
          <w:ilvl w:val="0"/>
          <w:numId w:val="1002"/>
        </w:numPr>
        <w:pStyle w:val="Compact"/>
      </w:pPr>
      <w:r>
        <w:t xml:space="preserve">All pricing is denominated in Russian Rubles (RUB) and is subject to the prevailing VAT rate of 20% as stipulated by the Tax Code of the Russian Federation.</w:t>
      </w:r>
    </w:p>
    <w:p>
      <w:pPr>
        <w:numPr>
          <w:ilvl w:val="0"/>
          <w:numId w:val="1002"/>
        </w:numPr>
        <w:pStyle w:val="Compact"/>
      </w:pPr>
      <w:r>
        <w:t xml:space="preserve">The</w:t>
      </w:r>
      <w:r>
        <w:t xml:space="preserve"> </w:t>
      </w:r>
      <w:r>
        <w:t xml:space="preserve">Social Worker</w:t>
      </w:r>
      <w:r>
        <w:t xml:space="preserve"> </w:t>
      </w:r>
      <w:r>
        <w:t xml:space="preserve">assigned to this contract must hold a valid state accreditation issued by the Ministry of Education and Science of the Russian Federation and a current professional license for social work practice in the Moscow region.</w:t>
      </w:r>
    </w:p>
    <w:p>
      <w:pPr>
        <w:numPr>
          <w:ilvl w:val="0"/>
          <w:numId w:val="1002"/>
        </w:numPr>
        <w:pStyle w:val="Compact"/>
      </w:pPr>
      <w:r>
        <w:t xml:space="preserve">Payment shall be made in quarterly installments within fifteen (15) business days of invoice submission, via bank transfer to the account designated in the service agreement. The bank account shall be registered with a licensed financial institution operating in Russia Moscow.</w:t>
      </w:r>
    </w:p>
    <w:p>
      <w:pPr>
        <w:numPr>
          <w:ilvl w:val="0"/>
          <w:numId w:val="1002"/>
        </w:numPr>
        <w:pStyle w:val="Compact"/>
      </w:pPr>
      <w:r>
        <w:t xml:space="preserve">Any scope modification exceeding 10% of the total</w:t>
      </w:r>
      <w:r>
        <w:t xml:space="preserve"> </w:t>
      </w:r>
      <w:r>
        <w:t xml:space="preserve">Quotation Estimate</w:t>
      </w:r>
      <w:r>
        <w:t xml:space="preserve"> </w:t>
      </w:r>
      <w:r>
        <w:t xml:space="preserve">value requires a formal amendment signed by both parties and, where applicable, approval from the Moscow City Procurement Committee.</w:t>
      </w:r>
    </w:p>
    <w:p>
      <w:pPr>
        <w:numPr>
          <w:ilvl w:val="0"/>
          <w:numId w:val="1002"/>
        </w:numPr>
        <w:pStyle w:val="Compact"/>
      </w:pPr>
      <w:r>
        <w:t xml:space="preserve">The service provider shall maintain professional liability insurance with a minimum coverage of 5,000,000 RUB, valid throughout the contract term and compliant with Russian insurance regulations.</w:t>
      </w:r>
    </w:p>
    <w:p>
      <w:pPr>
        <w:numPr>
          <w:ilvl w:val="0"/>
          <w:numId w:val="1002"/>
        </w:numPr>
        <w:pStyle w:val="Compact"/>
      </w:pPr>
      <w:r>
        <w:t xml:space="preserve">All client data collected by the</w:t>
      </w:r>
      <w:r>
        <w:t xml:space="preserve"> </w:t>
      </w:r>
      <w:r>
        <w:t xml:space="preserve">Social Worker</w:t>
      </w:r>
      <w:r>
        <w:t xml:space="preserve"> </w:t>
      </w:r>
      <w:r>
        <w:t xml:space="preserve">shall be processed in strict accordance with Federal Law No. 152-FZ "On Personal Data" and stored on servers physically located within the Russian Federation.</w:t>
      </w:r>
    </w:p>
    <w:p>
      <w:pPr>
        <w:numPr>
          <w:ilvl w:val="0"/>
          <w:numId w:val="1002"/>
        </w:numPr>
        <w:pStyle w:val="Compact"/>
      </w:pPr>
      <w:r>
        <w:t xml:space="preserve">This</w:t>
      </w:r>
      <w:r>
        <w:t xml:space="preserve"> </w:t>
      </w:r>
      <w:r>
        <w:t xml:space="preserve">Quotation Estimate</w:t>
      </w:r>
      <w:r>
        <w:t xml:space="preserve"> </w:t>
      </w:r>
      <w:r>
        <w:t xml:space="preserve">does not constitute a guarantee of specific outcomes. Service delivery shall be governed by the principles of the Moscow City Social Services Charter.</w:t>
      </w:r>
    </w:p>
    <w:p>
      <w:pPr>
        <w:numPr>
          <w:ilvl w:val="0"/>
          <w:numId w:val="1002"/>
        </w:numPr>
        <w:pStyle w:val="Compact"/>
      </w:pPr>
      <w:r>
        <w:t xml:space="preserve">In the event of force majeure as defined under the Civil Code of the Russian Federation, either party may suspend obligations without penalty, provided written notice is given within five (5) business days.</w:t>
      </w:r>
    </w:p>
    <w:p>
      <w:pPr>
        <w:pStyle w:val="FirstParagraph"/>
      </w:pPr>
      <w:r>
        <w:rPr>
          <w:bCs/>
          <w:b/>
        </w:rPr>
        <w:t xml:space="preserve">Note:</w:t>
      </w:r>
      <w:r>
        <w:t xml:space="preserve"> </w:t>
      </w:r>
      <w:r>
        <w:t xml:space="preserve">This Quotation Estimate has been prepared specifically for implementation within the administrative and legal framework of Russia Moscow. All referenced regulations, licensing bodies, and institutional structures pertain to the Moscow City jurisdiction and the broader Russian Federation. The Social Worker services described herein are designed to integrate seamlessly with existing municipal social infrastructure in Moscow, including the Moscow Social Service Centre (MSSC) network and the City Department of Social Protection.</w:t>
      </w:r>
    </w:p>
    <w:bookmarkEnd w:id="24"/>
    <w:bookmarkStart w:id="25" w:name="acceptance-and-authorization"/>
    <w:p>
      <w:pPr>
        <w:pStyle w:val="Heading2"/>
      </w:pPr>
      <w:r>
        <w:t xml:space="preserve">5. Acceptance and Authorization</w:t>
      </w:r>
    </w:p>
    <w:p>
      <w:pPr>
        <w:pStyle w:val="FirstParagraph"/>
      </w:pPr>
      <w:r>
        <w:rPr>
          <w:bCs/>
          <w:b/>
        </w:rPr>
        <w:t xml:space="preserve">Prepared by (Service Provider):</w:t>
      </w:r>
    </w:p>
    <w:p>
      <w:pPr>
        <w:pStyle w:val="BodyText"/>
      </w:pPr>
      <w:r>
        <w:t xml:space="preserve">Anna V. Petrova, Chief Social Services Officer</w:t>
      </w:r>
    </w:p>
    <w:p>
      <w:pPr>
        <w:pStyle w:val="BodyText"/>
      </w:pPr>
      <w:r>
        <w:t xml:space="preserve">Moscow Professional Social Services LLC</w:t>
      </w:r>
    </w:p>
    <w:p>
      <w:pPr>
        <w:pStyle w:val="BodyText"/>
      </w:pPr>
      <w:r>
        <w:t xml:space="preserve">Signature / Date</w:t>
      </w:r>
    </w:p>
    <w:p>
      <w:pPr>
        <w:pStyle w:val="BodyText"/>
      </w:pPr>
      <w:r>
        <w:rPr>
          <w:bCs/>
          <w:b/>
        </w:rPr>
        <w:t xml:space="preserve">Accepted by (Client):</w:t>
      </w:r>
    </w:p>
    <w:p>
      <w:pPr>
        <w:pStyle w:val="BodyText"/>
      </w:pPr>
      <w:r>
        <w:t xml:space="preserve">Authorized Representative</w:t>
      </w:r>
    </w:p>
    <w:p>
      <w:pPr>
        <w:pStyle w:val="BodyText"/>
      </w:pPr>
      <w:r>
        <w:t xml:space="preserve">Moscow City Administration, Dept. of Social Affairs</w:t>
      </w:r>
    </w:p>
    <w:p>
      <w:pPr>
        <w:pStyle w:val="BodyText"/>
      </w:pPr>
      <w:r>
        <w:t xml:space="preserve">Signature / Date</w:t>
      </w:r>
    </w:p>
    <w:p>
      <w:pPr>
        <w:pStyle w:val="BodyText"/>
      </w:pPr>
      <w:r>
        <w:t xml:space="preserve">This Quotation Estimate document QE-MSK-2025-0412 is the property of Moscow Professional Social Services LLC. Unauthorized reproduction or distribution is prohibited under Russian intellectual property law.</w:t>
      </w:r>
    </w:p>
    <w:p>
      <w:pPr>
        <w:pStyle w:val="BodyText"/>
      </w:pPr>
      <w:r>
        <w:t xml:space="preserve">Document generated in Russia Moscow | Page 1 of 1 | Confidential</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Social Worker Services - Russia Moscow</dc:title>
  <dc:creator/>
  <dc:language>en</dc:language>
  <cp:keywords/>
  <dcterms:created xsi:type="dcterms:W3CDTF">2026-10-10T02:42:27Z</dcterms:created>
  <dcterms:modified xsi:type="dcterms:W3CDTF">2026-10-10T02:42:27Z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