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rPr>
          <w:bCs/>
          <w:b/>
        </w:rPr>
        <w:t xml:space="preserve">Social Worker Professional Services</w:t>
      </w:r>
    </w:p>
    <w:p>
      <w:pPr>
        <w:pStyle w:val="BodyText"/>
      </w:pPr>
      <w:r>
        <w:t xml:space="preserve">Prepared for Clients in</w:t>
      </w:r>
      <w:r>
        <w:t xml:space="preserve"> </w:t>
      </w:r>
      <w:r>
        <w:rPr>
          <w:bCs/>
          <w:b/>
        </w:rPr>
        <w:t xml:space="preserve">Turkey Istanbul</w:t>
      </w:r>
    </w:p>
    <w:p>
      <w:pPr>
        <w:pStyle w:val="BodyText"/>
      </w:pPr>
      <w:r>
        <w:t xml:space="preserve">Quotation Reference No: QTE-IST-2025-0472</w:t>
      </w:r>
    </w:p>
    <w:p>
      <w:pPr>
        <w:pStyle w:val="BodyText"/>
      </w:pPr>
      <w:r>
        <w:t xml:space="preserve">Date of Issue: 15 June 2025  |  Valid Until: 15 September 2025</w:t>
      </w:r>
    </w:p>
    <w:bookmarkEnd w:id="20"/>
    <w:bookmarkStart w:id="21" w:name="service-provider"/>
    <w:p>
      <w:pPr>
        <w:pStyle w:val="Heading4"/>
      </w:pPr>
      <w:r>
        <w:t xml:space="preserve">Service Provider</w:t>
      </w:r>
    </w:p>
    <w:p>
      <w:pPr>
        <w:pStyle w:val="FirstParagraph"/>
      </w:pPr>
      <w:r>
        <w:rPr>
          <w:bCs/>
          <w:b/>
        </w:rPr>
        <w:t xml:space="preserve">Company:</w:t>
      </w:r>
      <w:r>
        <w:t xml:space="preserve"> </w:t>
      </w:r>
      <w:r>
        <w:t xml:space="preserve">Anadolu Social Services Group</w:t>
      </w:r>
    </w:p>
    <w:p>
      <w:pPr>
        <w:pStyle w:val="BodyText"/>
      </w:pPr>
      <w:r>
        <w:rPr>
          <w:bCs/>
          <w:b/>
        </w:rPr>
        <w:t xml:space="preserve">Address:</w:t>
      </w:r>
      <w:r>
        <w:t xml:space="preserve"> </w:t>
      </w:r>
      <w:r>
        <w:t xml:space="preserve">Levent Business District, Büyükdere Caddesi No. 128, 34394 Istanbul, Turkey</w:t>
      </w:r>
    </w:p>
    <w:p>
      <w:pPr>
        <w:pStyle w:val="BodyText"/>
      </w:pPr>
      <w:r>
        <w:rPr>
          <w:bCs/>
          <w:b/>
        </w:rPr>
        <w:t xml:space="preserve">Contact:</w:t>
      </w:r>
      <w:r>
        <w:t xml:space="preserve"> </w:t>
      </w:r>
      <w:r>
        <w:t xml:space="preserve">+90 212 555 0147</w:t>
      </w:r>
    </w:p>
    <w:p>
      <w:pPr>
        <w:pStyle w:val="BodyText"/>
      </w:pPr>
      <w:r>
        <w:rPr>
          <w:bCs/>
          <w:b/>
        </w:rPr>
        <w:t xml:space="preserve">Email:</w:t>
      </w:r>
      <w:r>
        <w:t xml:space="preserve"> </w:t>
      </w:r>
      <w:r>
        <w:t xml:space="preserve">quotations@anadolusocial.com.tr</w:t>
      </w:r>
    </w:p>
    <w:p>
      <w:pPr>
        <w:pStyle w:val="BodyText"/>
      </w:pPr>
      <w:r>
        <w:rPr>
          <w:bCs/>
          <w:b/>
        </w:rPr>
        <w:t xml:space="preserve">Tax ID (VKN):</w:t>
      </w:r>
      <w:r>
        <w:t xml:space="preserve"> </w:t>
      </w:r>
      <w:r>
        <w:t xml:space="preserve">1234567890</w:t>
      </w:r>
    </w:p>
    <w:bookmarkEnd w:id="21"/>
    <w:bookmarkStart w:id="22" w:name="client-recipient"/>
    <w:p>
      <w:pPr>
        <w:pStyle w:val="Heading4"/>
      </w:pPr>
      <w:r>
        <w:t xml:space="preserve">Client / Recipient</w:t>
      </w:r>
    </w:p>
    <w:p>
      <w:pPr>
        <w:pStyle w:val="FirstParagraph"/>
      </w:pPr>
      <w:r>
        <w:rPr>
          <w:bCs/>
          <w:b/>
        </w:rPr>
        <w:t xml:space="preserve">Client Name:</w:t>
      </w:r>
      <w:r>
        <w:t xml:space="preserve"> </w:t>
      </w:r>
      <w:r>
        <w:t xml:space="preserve">[To be completed upon acceptance]</w:t>
      </w:r>
    </w:p>
    <w:p>
      <w:pPr>
        <w:pStyle w:val="BodyText"/>
      </w:pPr>
      <w:r>
        <w:rPr>
          <w:bCs/>
          <w:b/>
        </w:rPr>
        <w:t xml:space="preserve">Address:</w:t>
      </w:r>
      <w:r>
        <w:t xml:space="preserve"> </w:t>
      </w:r>
      <w:r>
        <w:t xml:space="preserve">[Client address in Turkey Istanbul or abroad]</w:t>
      </w:r>
    </w:p>
    <w:p>
      <w:pPr>
        <w:pStyle w:val="BodyText"/>
      </w:pPr>
      <w:r>
        <w:rPr>
          <w:bCs/>
          <w:b/>
        </w:rPr>
        <w:t xml:space="preserve">Contact Person:</w:t>
      </w:r>
      <w:r>
        <w:t xml:space="preserve"> </w:t>
      </w:r>
      <w:r>
        <w:t xml:space="preserve">[Name and phone number]</w:t>
      </w:r>
    </w:p>
    <w:p>
      <w:pPr>
        <w:pStyle w:val="BodyText"/>
      </w:pPr>
      <w:r>
        <w:rPr>
          <w:bCs/>
          <w:b/>
        </w:rPr>
        <w:t xml:space="preserve">Email:</w:t>
      </w:r>
      <w:r>
        <w:t xml:space="preserve"> </w:t>
      </w:r>
      <w:r>
        <w:t xml:space="preserve">[Client email address]</w:t>
      </w:r>
    </w:p>
    <w:p>
      <w:pPr>
        <w:pStyle w:val="BodyText"/>
      </w:pPr>
      <w:r>
        <w:rPr>
          <w:bCs/>
          <w:b/>
        </w:rPr>
        <w:t xml:space="preserve">Service Location:</w:t>
      </w:r>
      <w:r>
        <w:t xml:space="preserve"> </w:t>
      </w:r>
      <w:r>
        <w:t xml:space="preserve">Turkey Istanbul (all districts)</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rPr>
          <w:bCs/>
          <w:b/>
        </w:rPr>
        <w:t xml:space="preserve">Quotation Estimate</w:t>
      </w:r>
      <w:r>
        <w:t xml:space="preserve"> </w:t>
      </w:r>
      <w:r>
        <w:t xml:space="preserve">document has been prepared to provide a comprehensive, transparent, and itemized breakdown of the professional</w:t>
      </w:r>
      <w:r>
        <w:t xml:space="preserve"> </w:t>
      </w:r>
      <w:r>
        <w:rPr>
          <w:bCs/>
          <w:b/>
        </w:rPr>
        <w:t xml:space="preserve">Social Worker</w:t>
      </w:r>
      <w:r>
        <w:t xml:space="preserve"> </w:t>
      </w:r>
      <w:r>
        <w:t xml:space="preserve">services that will be delivered to the client within the metropolitan area of</w:t>
      </w:r>
      <w:r>
        <w:t xml:space="preserve"> </w:t>
      </w:r>
      <w:r>
        <w:rPr>
          <w:bCs/>
          <w:b/>
        </w:rPr>
        <w:t xml:space="preserve">Turkey Istanbul</w:t>
      </w:r>
      <w:r>
        <w:t xml:space="preserve">. The purpose of this Quotation Estimate is to outline the scope of work, the qualifications of the assigned Social Worker, the projected timeline, and the associated costs in full detail. All figures presented in this Quotation Estimate are based on current market rates for Social Worker engagements in Turkey Istanbul as of the date of issue and are subject to the terms and conditions stated herein.</w:t>
      </w:r>
    </w:p>
    <w:bookmarkEnd w:id="23"/>
    <w:bookmarkStart w:id="24" w:name="Xea5a23bf63583c3a81dd3fd0308524d04cc4830"/>
    <w:p>
      <w:pPr>
        <w:pStyle w:val="Heading2"/>
      </w:pPr>
      <w:r>
        <w:t xml:space="preserve">2. Scope of Social Worker Services in Turkey Istanbul</w:t>
      </w:r>
    </w:p>
    <w:p>
      <w:pPr>
        <w:pStyle w:val="FirstParagraph"/>
      </w:pPr>
      <w:r>
        <w:t xml:space="preserve">The</w:t>
      </w:r>
      <w:r>
        <w:t xml:space="preserve"> </w:t>
      </w:r>
      <w:r>
        <w:rPr>
          <w:bCs/>
          <w:b/>
        </w:rPr>
        <w:t xml:space="preserve">Social Worker</w:t>
      </w:r>
      <w:r>
        <w:t xml:space="preserve"> </w:t>
      </w:r>
      <w:r>
        <w:t xml:space="preserve">assigned under this Quotation Estimate will provide a full spectrum of professional social work services tailored to the client's specific needs. The Social Worker is a licensed and certified professional registered with the Istanbul Provincial Directorate of Social Services (İl Sosyal Hizmetler Müdürlüğü) and holds a minimum of five years of field experience in the Turkey Istanbul region. The services covered by this Quotation Estimate include, but are not limited to:</w:t>
      </w:r>
    </w:p>
    <w:p>
      <w:pPr>
        <w:numPr>
          <w:ilvl w:val="0"/>
          <w:numId w:val="1001"/>
        </w:numPr>
        <w:pStyle w:val="Compact"/>
      </w:pPr>
      <w:r>
        <w:rPr>
          <w:bCs/>
          <w:b/>
        </w:rPr>
        <w:t xml:space="preserve">Case Assessment and Intake:</w:t>
      </w:r>
      <w:r>
        <w:t xml:space="preserve"> </w:t>
      </w:r>
      <w:r>
        <w:t xml:space="preserve">The Social Worker will conduct a thorough initial assessment of the client's social, familial, and psychological circumstances within the Turkey Istanbul service area. This includes home visits, institutional visits, and community-based evaluations.</w:t>
      </w:r>
    </w:p>
    <w:p>
      <w:pPr>
        <w:numPr>
          <w:ilvl w:val="0"/>
          <w:numId w:val="1001"/>
        </w:numPr>
        <w:pStyle w:val="Compact"/>
      </w:pPr>
      <w:r>
        <w:rPr>
          <w:bCs/>
          <w:b/>
        </w:rPr>
        <w:t xml:space="preserve">Counseling and Support:</w:t>
      </w:r>
      <w:r>
        <w:t xml:space="preserve"> </w:t>
      </w:r>
      <w:r>
        <w:t xml:space="preserve">Ongoing one-on-one and group counseling sessions provided by the Social Worker, addressing issues such as family conflict, child welfare, elderly care, disability support, and community reintegration.</w:t>
      </w:r>
    </w:p>
    <w:p>
      <w:pPr>
        <w:numPr>
          <w:ilvl w:val="0"/>
          <w:numId w:val="1001"/>
        </w:numPr>
        <w:pStyle w:val="Compact"/>
      </w:pPr>
      <w:r>
        <w:rPr>
          <w:bCs/>
          <w:b/>
        </w:rPr>
        <w:t xml:space="preserve">Resource Navigation:</w:t>
      </w:r>
      <w:r>
        <w:t xml:space="preserve"> </w:t>
      </w:r>
      <w:r>
        <w:t xml:space="preserve">The Social Worker will assist the client in accessing public and private social welfare programs available in Turkey Istanbul, including but not limited to Aile ve Sosyal Hizmetler Bakanlığı (Ministry of Family and Social Services) benefits, municipal support funds, and NGO-assisted programs.</w:t>
      </w:r>
    </w:p>
    <w:p>
      <w:pPr>
        <w:numPr>
          <w:ilvl w:val="0"/>
          <w:numId w:val="1001"/>
        </w:numPr>
        <w:pStyle w:val="Compact"/>
      </w:pPr>
      <w:r>
        <w:rPr>
          <w:bCs/>
          <w:b/>
        </w:rPr>
        <w:t xml:space="preserve">Advocacy and Liaison:</w:t>
      </w:r>
      <w:r>
        <w:t xml:space="preserve"> </w:t>
      </w:r>
      <w:r>
        <w:t xml:space="preserve">The Social Worker will act as a professional advocate, liaising with local government offices, hospitals, schools, and legal authorities throughout Turkey Istanbul on behalf of the client.</w:t>
      </w:r>
    </w:p>
    <w:p>
      <w:pPr>
        <w:numPr>
          <w:ilvl w:val="0"/>
          <w:numId w:val="1001"/>
        </w:numPr>
        <w:pStyle w:val="Compact"/>
      </w:pPr>
      <w:r>
        <w:rPr>
          <w:bCs/>
          <w:b/>
        </w:rPr>
        <w:t xml:space="preserve">Community Integration Programs:</w:t>
      </w:r>
      <w:r>
        <w:t xml:space="preserve"> </w:t>
      </w:r>
      <w:r>
        <w:t xml:space="preserve">Design and facilitation of community-based programs in the client's district of Turkey Istanbul to promote social inclusion, reduce isolation, and build supportive networks.</w:t>
      </w:r>
    </w:p>
    <w:p>
      <w:pPr>
        <w:numPr>
          <w:ilvl w:val="0"/>
          <w:numId w:val="1001"/>
        </w:numPr>
        <w:pStyle w:val="Compact"/>
      </w:pPr>
      <w:r>
        <w:rPr>
          <w:bCs/>
          <w:b/>
        </w:rPr>
        <w:t xml:space="preserve">Reporting and Documentation:</w:t>
      </w:r>
      <w:r>
        <w:t xml:space="preserve"> </w:t>
      </w:r>
      <w:r>
        <w:t xml:space="preserve">The Social Worker will prepare detailed progress reports, case files, and official documentation in both Turkish and English as required by the client or relevant authorities in Turkey Istanbul.</w:t>
      </w:r>
    </w:p>
    <w:bookmarkEnd w:id="24"/>
    <w:bookmarkStart w:id="25" w:name="Xe0d855c7c597480bbf70fab7c81f89c20a8fc33"/>
    <w:p>
      <w:pPr>
        <w:pStyle w:val="Heading2"/>
      </w:pPr>
      <w:r>
        <w:t xml:space="preserve">3. Quotation Estimate – Itemized Cost Breakdown</w:t>
      </w:r>
    </w:p>
    <w:p>
      <w:pPr>
        <w:pStyle w:val="FirstParagraph"/>
      </w:pPr>
      <w:r>
        <w:t xml:space="preserve">The following table constitutes the financial portion of this</w:t>
      </w:r>
      <w:r>
        <w:t xml:space="preserve"> </w:t>
      </w:r>
      <w:r>
        <w:rPr>
          <w:bCs/>
          <w:b/>
        </w:rPr>
        <w:t xml:space="preserve">Quotation Estimate</w:t>
      </w:r>
      <w:r>
        <w:t xml:space="preserve"> </w:t>
      </w:r>
      <w:r>
        <w:t xml:space="preserve">for the</w:t>
      </w:r>
      <w:r>
        <w:t xml:space="preserve"> </w:t>
      </w:r>
      <w:r>
        <w:rPr>
          <w:bCs/>
          <w:b/>
        </w:rPr>
        <w:t xml:space="preserve">Social Worker</w:t>
      </w:r>
      <w:r>
        <w:t xml:space="preserve"> </w:t>
      </w:r>
      <w:r>
        <w:t xml:space="preserve">engagement in</w:t>
      </w:r>
      <w:r>
        <w:t xml:space="preserve"> </w:t>
      </w:r>
      <w:r>
        <w:rPr>
          <w:bCs/>
          <w:b/>
        </w:rPr>
        <w:t xml:space="preserve">Turkey Istanbul</w:t>
      </w:r>
      <w:r>
        <w:t xml:space="preserve">. All prices are quoted in Turkish Lira (TRY) and are inclusive of applicable Value Added Tax (KDV – 20%) unless otherwise noted.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Rate (TRY)</w:t>
            </w:r>
          </w:p>
        </w:tc>
        <w:tc>
          <w:tcPr/>
          <w:p>
            <w:pPr>
              <w:pStyle w:val="Compact"/>
              <w:jc w:val="left"/>
            </w:pPr>
            <w:r>
              <w:t xml:space="preserve">Quantity</w:t>
            </w:r>
          </w:p>
        </w:tc>
        <w:tc>
          <w:tcPr/>
          <w:p>
            <w:pPr>
              <w:pStyle w:val="Compact"/>
              <w:jc w:val="left"/>
            </w:pPr>
            <w:r>
              <w:t xml:space="preserve">Subtotal (TRY)</w:t>
            </w:r>
          </w:p>
        </w:tc>
      </w:tr>
      <w:tr>
        <w:tc>
          <w:tcPr/>
          <w:p>
            <w:pPr>
              <w:pStyle w:val="Compact"/>
              <w:jc w:val="left"/>
            </w:pPr>
            <w:r>
              <w:t xml:space="preserve">01</w:t>
            </w:r>
          </w:p>
        </w:tc>
        <w:tc>
          <w:tcPr/>
          <w:p>
            <w:pPr>
              <w:pStyle w:val="Compact"/>
              <w:jc w:val="left"/>
            </w:pPr>
            <w:r>
              <w:t xml:space="preserve">Initial Case Assessment &amp; Intake by Social Worker</w:t>
            </w:r>
          </w:p>
        </w:tc>
        <w:tc>
          <w:tcPr/>
          <w:p>
            <w:pPr>
              <w:pStyle w:val="Compact"/>
              <w:jc w:val="left"/>
            </w:pPr>
            <w:r>
              <w:t xml:space="preserve">One-time (up to 4 hours)</w:t>
            </w:r>
          </w:p>
        </w:tc>
        <w:tc>
          <w:tcPr/>
          <w:p>
            <w:pPr>
              <w:pStyle w:val="Compact"/>
              <w:jc w:val="left"/>
            </w:pPr>
            <w:r>
              <w:t xml:space="preserve">2,500</w:t>
            </w:r>
          </w:p>
        </w:tc>
        <w:tc>
          <w:tcPr/>
          <w:p>
            <w:pPr>
              <w:pStyle w:val="Compact"/>
              <w:jc w:val="left"/>
            </w:pPr>
            <w:r>
              <w:t xml:space="preserve">1</w:t>
            </w:r>
          </w:p>
        </w:tc>
        <w:tc>
          <w:tcPr/>
          <w:p>
            <w:pPr>
              <w:pStyle w:val="Compact"/>
              <w:jc w:val="left"/>
            </w:pPr>
            <w:r>
              <w:t xml:space="preserve">2,500.00</w:t>
            </w:r>
          </w:p>
        </w:tc>
      </w:tr>
      <w:tr>
        <w:tc>
          <w:tcPr/>
          <w:p>
            <w:pPr>
              <w:pStyle w:val="Compact"/>
              <w:jc w:val="left"/>
            </w:pPr>
            <w:r>
              <w:t xml:space="preserve">02</w:t>
            </w:r>
          </w:p>
        </w:tc>
        <w:tc>
          <w:tcPr/>
          <w:p>
            <w:pPr>
              <w:pStyle w:val="Compact"/>
              <w:jc w:val="left"/>
            </w:pPr>
            <w:r>
              <w:t xml:space="preserve">Weekly Counseling Sessions (Social Worker)</w:t>
            </w:r>
          </w:p>
        </w:tc>
        <w:tc>
          <w:tcPr/>
          <w:p>
            <w:pPr>
              <w:pStyle w:val="Compact"/>
              <w:jc w:val="left"/>
            </w:pPr>
            <w:r>
              <w:t xml:space="preserve">Per session (60 min)</w:t>
            </w:r>
          </w:p>
        </w:tc>
        <w:tc>
          <w:tcPr/>
          <w:p>
            <w:pPr>
              <w:pStyle w:val="Compact"/>
              <w:jc w:val="left"/>
            </w:pPr>
            <w:r>
              <w:t xml:space="preserve">1,800</w:t>
            </w:r>
          </w:p>
        </w:tc>
        <w:tc>
          <w:tcPr/>
          <w:p>
            <w:pPr>
              <w:pStyle w:val="Compact"/>
              <w:jc w:val="left"/>
            </w:pPr>
            <w:r>
              <w:t xml:space="preserve">12</w:t>
            </w:r>
          </w:p>
        </w:tc>
        <w:tc>
          <w:tcPr/>
          <w:p>
            <w:pPr>
              <w:pStyle w:val="Compact"/>
              <w:jc w:val="left"/>
            </w:pPr>
            <w:r>
              <w:t xml:space="preserve">21,600.00</w:t>
            </w:r>
          </w:p>
        </w:tc>
      </w:tr>
      <w:tr>
        <w:tc>
          <w:tcPr/>
          <w:p>
            <w:pPr>
              <w:pStyle w:val="Compact"/>
              <w:jc w:val="left"/>
            </w:pPr>
            <w:r>
              <w:t xml:space="preserve">03</w:t>
            </w:r>
          </w:p>
        </w:tc>
        <w:tc>
          <w:tcPr/>
          <w:p>
            <w:pPr>
              <w:pStyle w:val="Compact"/>
              <w:jc w:val="left"/>
            </w:pPr>
            <w:r>
              <w:t xml:space="preserve">Home / Field Visits within Turkey Istanbul</w:t>
            </w:r>
          </w:p>
        </w:tc>
        <w:tc>
          <w:tcPr/>
          <w:p>
            <w:pPr>
              <w:pStyle w:val="Compact"/>
              <w:jc w:val="left"/>
            </w:pPr>
            <w:r>
              <w:t xml:space="preserve">Per visit (up to 3 hours)</w:t>
            </w:r>
          </w:p>
        </w:tc>
        <w:tc>
          <w:tcPr/>
          <w:p>
            <w:pPr>
              <w:pStyle w:val="Compact"/>
              <w:jc w:val="left"/>
            </w:pPr>
            <w:r>
              <w:t xml:space="preserve">2,200</w:t>
            </w:r>
          </w:p>
        </w:tc>
        <w:tc>
          <w:tcPr/>
          <w:p>
            <w:pPr>
              <w:pStyle w:val="Compact"/>
              <w:jc w:val="left"/>
            </w:pPr>
            <w:r>
              <w:t xml:space="preserve">8</w:t>
            </w:r>
          </w:p>
        </w:tc>
        <w:tc>
          <w:tcPr/>
          <w:p>
            <w:pPr>
              <w:pStyle w:val="Compact"/>
              <w:jc w:val="left"/>
            </w:pPr>
            <w:r>
              <w:t xml:space="preserve">17,600.00</w:t>
            </w:r>
          </w:p>
        </w:tc>
      </w:tr>
      <w:tr>
        <w:tc>
          <w:tcPr/>
          <w:p>
            <w:pPr>
              <w:pStyle w:val="Compact"/>
              <w:jc w:val="left"/>
            </w:pPr>
            <w:r>
              <w:t xml:space="preserve">04</w:t>
            </w:r>
          </w:p>
        </w:tc>
        <w:tc>
          <w:tcPr/>
          <w:p>
            <w:pPr>
              <w:pStyle w:val="Compact"/>
              <w:jc w:val="left"/>
            </w:pPr>
            <w:r>
              <w:t xml:space="preserve">Resource Navigation &amp; Government Liaison</w:t>
            </w:r>
          </w:p>
        </w:tc>
        <w:tc>
          <w:tcPr/>
          <w:p>
            <w:pPr>
              <w:pStyle w:val="Compact"/>
              <w:jc w:val="left"/>
            </w:pPr>
            <w:r>
              <w:t xml:space="preserve">Per case (up to 10 hours)</w:t>
            </w:r>
          </w:p>
        </w:tc>
        <w:tc>
          <w:tcPr/>
          <w:p>
            <w:pPr>
              <w:pStyle w:val="Compact"/>
              <w:jc w:val="left"/>
            </w:pPr>
            <w:r>
              <w:t xml:space="preserve">3,000</w:t>
            </w:r>
          </w:p>
        </w:tc>
        <w:tc>
          <w:tcPr/>
          <w:p>
            <w:pPr>
              <w:pStyle w:val="Compact"/>
              <w:jc w:val="left"/>
            </w:pPr>
            <w:r>
              <w:t xml:space="preserve">1</w:t>
            </w:r>
          </w:p>
        </w:tc>
        <w:tc>
          <w:tcPr/>
          <w:p>
            <w:pPr>
              <w:pStyle w:val="Compact"/>
              <w:jc w:val="left"/>
            </w:pPr>
            <w:r>
              <w:t xml:space="preserve">3,000.00</w:t>
            </w:r>
          </w:p>
        </w:tc>
      </w:tr>
      <w:tr>
        <w:tc>
          <w:tcPr/>
          <w:p>
            <w:pPr>
              <w:pStyle w:val="Compact"/>
              <w:jc w:val="left"/>
            </w:pPr>
            <w:r>
              <w:t xml:space="preserve">05</w:t>
            </w:r>
          </w:p>
        </w:tc>
        <w:tc>
          <w:tcPr/>
          <w:p>
            <w:pPr>
              <w:pStyle w:val="Compact"/>
              <w:jc w:val="left"/>
            </w:pPr>
            <w:r>
              <w:t xml:space="preserve">Community Integration Program Design &amp; Facilitation</w:t>
            </w:r>
          </w:p>
        </w:tc>
        <w:tc>
          <w:tcPr/>
          <w:p>
            <w:pPr>
              <w:pStyle w:val="Compact"/>
              <w:jc w:val="left"/>
            </w:pPr>
            <w:r>
              <w:t xml:space="preserve">Per program (up to 20 hours)</w:t>
            </w:r>
          </w:p>
        </w:tc>
        <w:tc>
          <w:tcPr/>
          <w:p>
            <w:pPr>
              <w:pStyle w:val="Compact"/>
              <w:jc w:val="left"/>
            </w:pPr>
            <w:r>
              <w:t xml:space="preserve">4,500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Progress Reports &amp; Official Documentation</w:t>
            </w:r>
          </w:p>
        </w:tc>
        <w:tc>
          <w:tcPr/>
          <w:p>
            <w:pPr>
              <w:pStyle w:val="Compact"/>
              <w:jc w:val="left"/>
            </w:pPr>
            <w:r>
              <w:t xml:space="preserve">Per report</w:t>
            </w:r>
          </w:p>
        </w:tc>
        <w:tc>
          <w:tcPr/>
          <w:p>
            <w:pPr>
              <w:pStyle w:val="Compact"/>
              <w:jc w:val="left"/>
            </w:pPr>
            <w:r>
              <w:t xml:space="preserve">800</w:t>
            </w:r>
          </w:p>
        </w:tc>
        <w:tc>
          <w:tcPr/>
          <w:p>
            <w:pPr>
              <w:pStyle w:val="Compact"/>
              <w:jc w:val="left"/>
            </w:pPr>
            <w:r>
              <w:t xml:space="preserve">4</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Urgent / Emergency Social Worker Response (24/7)</w:t>
            </w:r>
          </w:p>
        </w:tc>
        <w:tc>
          <w:tcPr/>
          <w:p>
            <w:pPr>
              <w:pStyle w:val="Compact"/>
              <w:jc w:val="left"/>
            </w:pPr>
            <w:r>
              <w:t xml:space="preserve">Per call-out</w:t>
            </w:r>
          </w:p>
        </w:tc>
        <w:tc>
          <w:tcPr/>
          <w:p>
            <w:pPr>
              <w:pStyle w:val="Compact"/>
              <w:jc w:val="left"/>
            </w:pPr>
            <w:r>
              <w:t xml:space="preserve">3,500</w:t>
            </w:r>
          </w:p>
        </w:tc>
        <w:tc>
          <w:tcPr/>
          <w:p>
            <w:pPr>
              <w:pStyle w:val="Compact"/>
              <w:jc w:val="left"/>
            </w:pPr>
            <w:r>
              <w:t xml:space="preserve">2</w:t>
            </w:r>
          </w:p>
        </w:tc>
        <w:tc>
          <w:tcPr/>
          <w:p>
            <w:pPr>
              <w:pStyle w:val="Compact"/>
              <w:jc w:val="left"/>
            </w:pPr>
            <w:r>
              <w:t xml:space="preserve">7,000.00</w:t>
            </w:r>
          </w:p>
        </w:tc>
      </w:tr>
      <w:tr>
        <w:tc>
          <w:tcPr/>
          <w:p>
            <w:pPr>
              <w:pStyle w:val="Compact"/>
              <w:jc w:val="left"/>
            </w:pPr>
            <w:r>
              <w:t xml:space="preserve">08</w:t>
            </w:r>
          </w:p>
        </w:tc>
        <w:tc>
          <w:tcPr/>
          <w:p>
            <w:pPr>
              <w:pStyle w:val="Compact"/>
              <w:jc w:val="left"/>
            </w:pPr>
            <w:r>
              <w:t xml:space="preserve">Travel &amp; Transportation within Turkey Istanbul</w:t>
            </w:r>
          </w:p>
        </w:tc>
        <w:tc>
          <w:tcPr/>
          <w:p>
            <w:pPr>
              <w:pStyle w:val="Compact"/>
              <w:jc w:val="left"/>
            </w:pPr>
            <w:r>
              <w:t xml:space="preserve">Per month</w:t>
            </w:r>
          </w:p>
        </w:tc>
        <w:tc>
          <w:tcPr/>
          <w:p>
            <w:pPr>
              <w:pStyle w:val="Compact"/>
              <w:jc w:val="left"/>
            </w:pPr>
            <w:r>
              <w:t xml:space="preserve">1,200</w:t>
            </w:r>
          </w:p>
        </w:tc>
        <w:tc>
          <w:tcPr/>
          <w:p>
            <w:pPr>
              <w:pStyle w:val="Compact"/>
              <w:jc w:val="left"/>
            </w:pPr>
            <w:r>
              <w:t xml:space="preserve">3</w:t>
            </w:r>
          </w:p>
        </w:tc>
        <w:tc>
          <w:tcPr/>
          <w:p>
            <w:pPr>
              <w:pStyle w:val="Compact"/>
              <w:jc w:val="left"/>
            </w:pPr>
            <w:r>
              <w:t xml:space="preserve">3,600.00</w:t>
            </w:r>
          </w:p>
        </w:tc>
      </w:tr>
      <w:tr>
        <w:tc>
          <w:tcPr>
            <w:gridSpan w:val="5"/>
          </w:tcPr>
          <w:p>
            <w:pPr>
              <w:pStyle w:val="Compact"/>
              <w:jc w:val="left"/>
            </w:pPr>
            <w:r>
              <w:rPr>
                <w:bCs/>
                <w:b/>
              </w:rPr>
              <w:t xml:space="preserve">Subtotal (before KDV)</w:t>
            </w:r>
          </w:p>
        </w:tc>
        <w:tc>
          <w:tcPr/>
          <w:p>
            <w:pPr>
              <w:pStyle w:val="Compact"/>
              <w:jc w:val="left"/>
            </w:pPr>
            <w:r>
              <w:rPr>
                <w:bCs/>
                <w:b/>
              </w:rPr>
              <w:t xml:space="preserve">63,000.00</w:t>
            </w:r>
          </w:p>
        </w:tc>
      </w:tr>
      <w:tr>
        <w:tc>
          <w:tcPr>
            <w:gridSpan w:val="5"/>
          </w:tcPr>
          <w:p>
            <w:pPr>
              <w:pStyle w:val="Compact"/>
              <w:jc w:val="left"/>
            </w:pPr>
            <w:r>
              <w:rPr>
                <w:bCs/>
                <w:b/>
              </w:rPr>
              <w:t xml:space="preserve">KDV (20% VAT)</w:t>
            </w:r>
          </w:p>
        </w:tc>
        <w:tc>
          <w:tcPr/>
          <w:p>
            <w:pPr>
              <w:pStyle w:val="Compact"/>
              <w:jc w:val="left"/>
            </w:pPr>
            <w:r>
              <w:rPr>
                <w:bCs/>
                <w:b/>
              </w:rPr>
              <w:t xml:space="preserve">12,600.00</w:t>
            </w:r>
          </w:p>
        </w:tc>
      </w:tr>
      <w:tr>
        <w:tc>
          <w:tcPr>
            <w:gridSpan w:val="5"/>
          </w:tcPr>
          <w:p>
            <w:pPr>
              <w:pStyle w:val="Compact"/>
              <w:jc w:val="left"/>
            </w:pPr>
            <w:r>
              <w:rPr>
                <w:bCs/>
                <w:b/>
              </w:rPr>
              <w:t xml:space="preserve">TOTAL QUOTATION ESTIMATE AMOUNT</w:t>
            </w:r>
          </w:p>
        </w:tc>
        <w:tc>
          <w:tcPr/>
          <w:p>
            <w:pPr>
              <w:pStyle w:val="Compact"/>
              <w:jc w:val="left"/>
            </w:pPr>
            <w:r>
              <w:rPr>
                <w:bCs/>
                <w:b/>
              </w:rPr>
              <w:t xml:space="preserve">75,600.00 TRY</w:t>
            </w:r>
          </w:p>
        </w:tc>
      </w:tr>
    </w:tbl>
    <w:bookmarkEnd w:id="25"/>
    <w:bookmarkStart w:id="26" w:name="projected-timeline"/>
    <w:p>
      <w:pPr>
        <w:pStyle w:val="Heading2"/>
      </w:pPr>
      <w:r>
        <w:t xml:space="preserve">4. Projected Timeline</w:t>
      </w:r>
    </w:p>
    <w:p>
      <w:pPr>
        <w:pStyle w:val="FirstParagraph"/>
      </w:pPr>
      <w:r>
        <w:t xml:space="preserve">This Quotation Estimate covers a service period of</w:t>
      </w:r>
      <w:r>
        <w:t xml:space="preserve"> </w:t>
      </w:r>
      <w:r>
        <w:rPr>
          <w:bCs/>
          <w:b/>
        </w:rPr>
        <w:t xml:space="preserve">three (3) months</w:t>
      </w:r>
      <w:r>
        <w:t xml:space="preserve">, commencing on the date of formal acceptance and signature by both parties. The Social Worker will be fully deployed in Turkey Istanbul within five (5) business days of contract execution. Weekly progress check-ins will be scheduled, and a comprehensive final report will be delivered by the Social Worker at the conclusion of the engagement period. Any extension beyond the three-month term will require a revised Quotation Estimate issued separately.</w:t>
      </w:r>
    </w:p>
    <w:bookmarkEnd w:id="26"/>
    <w:bookmarkStart w:id="27" w:name="X985eb999f0cfcda5f1af1a675bf0b7c2e0a6c64"/>
    <w:p>
      <w:pPr>
        <w:pStyle w:val="Heading2"/>
      </w:pPr>
      <w:r>
        <w:t xml:space="preserve">5. Terms and Conditions of This Quotation Estimate</w:t>
      </w:r>
    </w:p>
    <w:p>
      <w:pPr>
        <w:numPr>
          <w:ilvl w:val="0"/>
          <w:numId w:val="1002"/>
        </w:numPr>
        <w:pStyle w:val="Compact"/>
      </w:pPr>
      <w:r>
        <w:t xml:space="preserve">This Quotation Estimate is valid for a period of ninety (90) days from the date of issue. After this period, the Social Worker service rates and total amounts may be subject to revision based on prevailing economic conditions in Turkey Istanbul.</w:t>
      </w:r>
    </w:p>
    <w:p>
      <w:pPr>
        <w:numPr>
          <w:ilvl w:val="0"/>
          <w:numId w:val="1002"/>
        </w:numPr>
        <w:pStyle w:val="Compact"/>
      </w:pPr>
      <w:r>
        <w:t xml:space="preserve">Payment terms: 40% advance payment upon acceptance of this Quotation Estimate, 40% upon completion of the second month of Social Worker services, and the remaining 20% upon final delivery of all reports and documentation.</w:t>
      </w:r>
    </w:p>
    <w:p>
      <w:pPr>
        <w:numPr>
          <w:ilvl w:val="0"/>
          <w:numId w:val="1002"/>
        </w:numPr>
        <w:pStyle w:val="Compact"/>
      </w:pPr>
      <w:r>
        <w:t xml:space="preserve">All payments shall be made in Turkish Lira (TRY) via bank transfer to the account of Anadolu Social Services Group, Istanbul, Turkey. International wire transfers from abroad to Turkey Istanbul are accepted; the client shall bear any intermediary banking fees.</w:t>
      </w:r>
    </w:p>
    <w:p>
      <w:pPr>
        <w:numPr>
          <w:ilvl w:val="0"/>
          <w:numId w:val="1002"/>
        </w:numPr>
        <w:pStyle w:val="Compact"/>
      </w:pPr>
      <w:r>
        <w:t xml:space="preserve">The Social Worker assigned under this Quotation Estimate is bound by strict professional confidentiality as governed by the Turkish Social Services Law (Law No. 5442) and the Istanbul Provincial Social Services regulations. All client data collected in Turkey Istanbul will be stored securely and will not be disclosed to third parties without written consent.</w:t>
      </w:r>
    </w:p>
    <w:p>
      <w:pPr>
        <w:numPr>
          <w:ilvl w:val="0"/>
          <w:numId w:val="1002"/>
        </w:numPr>
        <w:pStyle w:val="Compact"/>
      </w:pPr>
      <w:r>
        <w:t xml:space="preserve">Force majeure events, including but not limited to natural disasters, public health emergencies, or government-mandated restrictions affecting service delivery in Turkey Istanbul, may result in temporary suspension of Social Worker services without penalty to either party.</w:t>
      </w:r>
    </w:p>
    <w:p>
      <w:pPr>
        <w:numPr>
          <w:ilvl w:val="0"/>
          <w:numId w:val="1002"/>
        </w:numPr>
        <w:pStyle w:val="Compact"/>
      </w:pPr>
      <w:r>
        <w:t xml:space="preserve">Any disputes arising from this Quotation Estimate shall be resolved through the competent courts and arbitration bodies located in Turkey Istanbul, in accordance with the laws of the Republic of Turkey.</w:t>
      </w:r>
    </w:p>
    <w:p>
      <w:pPr>
        <w:numPr>
          <w:ilvl w:val="0"/>
          <w:numId w:val="1002"/>
        </w:numPr>
        <w:pStyle w:val="Compact"/>
      </w:pPr>
      <w:r>
        <w:t xml:space="preserve">This Quotation Estimate does not constitute a binding contract until it is countersigned by both the service provider and the client. Upon mutual signature, it shall serve as the governing agreement for the Social Worker engagement described herein.</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conditions, and cost figures set forth in this</w:t>
      </w:r>
      <w:r>
        <w:t xml:space="preserve"> </w:t>
      </w:r>
      <w:r>
        <w:rPr>
          <w:bCs/>
          <w:b/>
        </w:rPr>
        <w:t xml:space="preserve">Quotation Estimate</w:t>
      </w:r>
      <w:r>
        <w:t xml:space="preserve"> </w:t>
      </w:r>
      <w:r>
        <w:t xml:space="preserve">for the</w:t>
      </w:r>
      <w:r>
        <w:t xml:space="preserve"> </w:t>
      </w:r>
      <w:r>
        <w:rPr>
          <w:bCs/>
          <w:b/>
        </w:rPr>
        <w:t xml:space="preserve">Social Worker</w:t>
      </w:r>
      <w:r>
        <w:t xml:space="preserve"> </w:t>
      </w:r>
      <w:r>
        <w:t xml:space="preserve">services to be rendered in</w:t>
      </w:r>
      <w:r>
        <w:t xml:space="preserve"> </w:t>
      </w:r>
      <w:r>
        <w:rPr>
          <w:bCs/>
          <w:b/>
        </w:rPr>
        <w:t xml:space="preserve">Turkey Istanbul</w:t>
      </w:r>
      <w:r>
        <w:t xml:space="preserve">.</w:t>
      </w:r>
    </w:p>
    <w:p>
      <w:pPr>
        <w:pStyle w:val="BodyText"/>
      </w:pPr>
      <w:r>
        <w:rPr>
          <w:bCs/>
          <w:b/>
        </w:rPr>
        <w:t xml:space="preserve">For the Service Provider</w:t>
      </w:r>
    </w:p>
    <w:p>
      <w:pPr>
        <w:pStyle w:val="BodyText"/>
      </w:pPr>
      <w:r>
        <w:t xml:space="preserve">Anadolu Social Services Group</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Company Stamp / Seal</w:t>
      </w:r>
    </w:p>
    <w:p>
      <w:pPr>
        <w:pStyle w:val="BodyText"/>
      </w:pPr>
      <w:r>
        <w:rPr>
          <w:bCs/>
          <w:b/>
        </w:rPr>
        <w:t xml:space="preserve">For the Client</w:t>
      </w:r>
    </w:p>
    <w:p>
      <w:pPr>
        <w:pStyle w:val="BodyText"/>
      </w:pPr>
      <w:r>
        <w:t xml:space="preserve">[Client Organization / Individual Name]</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Signature / Stamp</w:t>
      </w:r>
    </w:p>
    <w:p>
      <w:pPr>
        <w:pStyle w:val="BodyText"/>
      </w:pPr>
      <w:r>
        <w:t xml:space="preserve">This Quotation Estimate (Ref: QTE-IST-2025-0472) was prepared by Anadolu Social Services Group for Social Worker professional services in Turkey Istanbul. This document is confidential and intended solely for the named recipient. Unauthorized reproduction or distribution is prohibited. © 2025 Anadolu Social Services Group, Istanbul, Turkey.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Turkey Istanbul</dc:title>
  <dc:creator/>
  <dc:language>en</dc:language>
  <cp:keywords/>
  <dcterms:created xsi:type="dcterms:W3CDTF">2026-10-10T03:10:44Z</dcterms:created>
  <dcterms:modified xsi:type="dcterms:W3CDTF">2026-10-10T03:10:44Z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