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Social</w:t>
      </w:r>
      <w:r>
        <w:t xml:space="preserve"> </w:t>
      </w:r>
      <w:r>
        <w:t xml:space="preserve">Worker</w:t>
      </w:r>
      <w:r>
        <w:t xml:space="preserve"> </w:t>
      </w:r>
      <w:r>
        <w:t xml:space="preserve">Services</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quotation-estimate"/>
    <w:p>
      <w:pPr>
        <w:pStyle w:val="Heading1"/>
      </w:pPr>
      <w:r>
        <w:t xml:space="preserve">QUOTATION ESTIMATE</w:t>
      </w:r>
    </w:p>
    <w:p>
      <w:pPr>
        <w:pStyle w:val="FirstParagraph"/>
      </w:pPr>
      <w:r>
        <w:t xml:space="preserve">Professional Social Worker Services</w:t>
      </w:r>
    </w:p>
    <w:p>
      <w:pPr>
        <w:pStyle w:val="BodyText"/>
      </w:pPr>
      <w:r>
        <w:t xml:space="preserve">United Arab Emirates — Dubai</w:t>
      </w:r>
    </w:p>
    <w:p>
      <w:pPr>
        <w:pStyle w:val="BodyText"/>
      </w:pPr>
      <w:r>
        <w:t xml:space="preserve">Document Ref: QE-SW-DXB-2025-0417</w:t>
      </w:r>
    </w:p>
    <w:bookmarkEnd w:id="20"/>
    <w:p>
      <w:pPr>
        <w:pStyle w:val="BodyText"/>
      </w:pPr>
      <w:r>
        <w:rPr>
          <w:bCs/>
          <w:b/>
        </w:rPr>
        <w:t xml:space="preserve">Prepared By:</w:t>
      </w:r>
      <w:r>
        <w:br/>
      </w:r>
      <w:r>
        <w:t xml:space="preserve">Al Noor Community Services LLC</w:t>
      </w:r>
      <w:r>
        <w:br/>
      </w:r>
      <w:r>
        <w:t xml:space="preserve">Office 1204, Level 12, Burj Khalifa</w:t>
      </w:r>
      <w:r>
        <w:br/>
      </w:r>
      <w:r>
        <w:t xml:space="preserve">Downtown Dubai, United Arab Emirates</w:t>
      </w:r>
      <w:r>
        <w:br/>
      </w:r>
      <w:r>
        <w:t xml:space="preserve">Tel: +971 4 555 0192</w:t>
      </w:r>
      <w:r>
        <w:br/>
      </w:r>
      <w:r>
        <w:t xml:space="preserve">Email: quotations@alnoor-community.ae</w:t>
      </w:r>
    </w:p>
    <w:p>
      <w:pPr>
        <w:pStyle w:val="BodyText"/>
      </w:pPr>
      <w:r>
        <w:rPr>
          <w:bCs/>
          <w:b/>
        </w:rPr>
        <w:t xml:space="preserve">Prepared For:</w:t>
      </w:r>
      <w:r>
        <w:br/>
      </w:r>
      <w:r>
        <w:t xml:space="preserve">[Client / Organization Name]</w:t>
      </w:r>
      <w:r>
        <w:br/>
      </w:r>
      <w:r>
        <w:t xml:space="preserve">[Street Address]</w:t>
      </w:r>
      <w:r>
        <w:br/>
      </w:r>
      <w:r>
        <w:t xml:space="preserve">Dubai, United Arab Emirates</w:t>
      </w:r>
      <w:r>
        <w:br/>
      </w:r>
      <w:r>
        <w:t xml:space="preserve">Tel: [Client Phone]</w:t>
      </w:r>
      <w:r>
        <w:br/>
      </w:r>
      <w:r>
        <w:t xml:space="preserve">Email: [Client Email]</w:t>
      </w:r>
    </w:p>
    <w:p>
      <w:pPr>
        <w:pStyle w:val="BodyText"/>
      </w:pPr>
      <w:r>
        <w:rPr>
          <w:bCs/>
          <w:b/>
        </w:rPr>
        <w:t xml:space="preserve">Date of Issue:</w:t>
      </w:r>
      <w:r>
        <w:br/>
      </w:r>
      <w:r>
        <w:t xml:space="preserve">17 June 2025</w:t>
      </w:r>
      <w:r>
        <w:br/>
      </w:r>
      <w:r>
        <w:br/>
      </w:r>
      <w:r>
        <w:rPr>
          <w:bCs/>
          <w:b/>
        </w:rPr>
        <w:t xml:space="preserve">Valid Until:</w:t>
      </w:r>
      <w:r>
        <w:br/>
      </w:r>
      <w:r>
        <w:t xml:space="preserve">17 July 2025</w:t>
      </w:r>
      <w:r>
        <w:br/>
      </w:r>
      <w:r>
        <w:br/>
      </w:r>
      <w:r>
        <w:rPr>
          <w:bCs/>
          <w:b/>
        </w:rPr>
        <w:t xml:space="preserve">Quotation No.:</w:t>
      </w:r>
      <w:r>
        <w:br/>
      </w:r>
      <w:r>
        <w:t xml:space="preserve">QE-SW-DXB-2025-0417</w:t>
      </w:r>
    </w:p>
    <w:bookmarkStart w:id="21" w:name="purpose-of-this-quotation-estimate"/>
    <w:p>
      <w:pPr>
        <w:pStyle w:val="Heading2"/>
      </w:pPr>
      <w:r>
        <w:t xml:space="preserve">1. Purpose of This Quotation Estimate</w:t>
      </w:r>
    </w:p>
    <w:p>
      <w:pPr>
        <w:pStyle w:val="FirstParagraph"/>
      </w:pPr>
      <w:r>
        <w:t xml:space="preserve">This Quotation Estimate is issued by Al Noor Community Services LLC to provide a comprehensive and transparent breakdown of costs associated with the engagement of a qualified Social Worker for professional services within the United Arab Emirates Dubai jurisdiction. This document serves as a formal proposal outlining the scope of work, deliverables, fee structure, and applicable terms governing the provision of Social Worker services. The Quotation Estimate is prepared in accordance with the regulatory standards set forth by the Dubai Municipality, the Department of Community Development, and the relevant federal and emirate-level legislation governing social work practice in the United Arab Emirates.</w:t>
      </w:r>
    </w:p>
    <w:bookmarkEnd w:id="21"/>
    <w:bookmarkStart w:id="22" w:name="X55e3dc9697a116c3a3ddbddd089daa8a5eeffad"/>
    <w:p>
      <w:pPr>
        <w:pStyle w:val="Heading2"/>
      </w:pPr>
      <w:r>
        <w:t xml:space="preserve">2. Scope of Services — Social Worker Engagement</w:t>
      </w:r>
    </w:p>
    <w:p>
      <w:pPr>
        <w:pStyle w:val="FirstParagraph"/>
      </w:pPr>
      <w:r>
        <w:t xml:space="preserve">The Social Worker to be engaged under this Quotation Estimate shall provide a full spectrum of professional social work services tailored to the specific needs of the client organization or individual within the United Arab Emirates Dubai area. The scope of services includes, but is not limited to, the following:</w:t>
      </w:r>
    </w:p>
    <w:p>
      <w:pPr>
        <w:numPr>
          <w:ilvl w:val="0"/>
          <w:numId w:val="1001"/>
        </w:numPr>
        <w:pStyle w:val="Compact"/>
      </w:pPr>
      <w:r>
        <w:rPr>
          <w:bCs/>
          <w:b/>
        </w:rPr>
        <w:t xml:space="preserve">Case Assessment and Intake:</w:t>
      </w:r>
      <w:r>
        <w:t xml:space="preserve"> </w:t>
      </w:r>
      <w:r>
        <w:t xml:space="preserve">Comprehensive initial evaluation of the client’s social, psychological, and familial circumstances in compliance with UAE social welfare protocols.</w:t>
      </w:r>
    </w:p>
    <w:p>
      <w:pPr>
        <w:numPr>
          <w:ilvl w:val="0"/>
          <w:numId w:val="1001"/>
        </w:numPr>
        <w:pStyle w:val="Compact"/>
      </w:pPr>
      <w:r>
        <w:rPr>
          <w:bCs/>
          <w:b/>
        </w:rPr>
        <w:t xml:space="preserve">Counselling and Psycho-Social Support:</w:t>
      </w:r>
      <w:r>
        <w:t xml:space="preserve"> </w:t>
      </w:r>
      <w:r>
        <w:t xml:space="preserve">One-on-one and group counselling sessions conducted by a licensed Social Worker, addressing issues such as family conflict, domestic concerns, child welfare, and community integration.</w:t>
      </w:r>
    </w:p>
    <w:p>
      <w:pPr>
        <w:numPr>
          <w:ilvl w:val="0"/>
          <w:numId w:val="1001"/>
        </w:numPr>
        <w:pStyle w:val="Compact"/>
      </w:pPr>
      <w:r>
        <w:rPr>
          <w:bCs/>
          <w:b/>
        </w:rPr>
        <w:t xml:space="preserve">Referral and Coordination:</w:t>
      </w:r>
      <w:r>
        <w:t xml:space="preserve"> </w:t>
      </w:r>
      <w:r>
        <w:t xml:space="preserve">Liaison with government entities including the Dubai Family Court, the General Women’s and Children’s Authority, and the National Centre for Humanitarian Dialogue to ensure seamless case management.</w:t>
      </w:r>
    </w:p>
    <w:p>
      <w:pPr>
        <w:numPr>
          <w:ilvl w:val="0"/>
          <w:numId w:val="1001"/>
        </w:numPr>
        <w:pStyle w:val="Compact"/>
      </w:pPr>
      <w:r>
        <w:rPr>
          <w:bCs/>
          <w:b/>
        </w:rPr>
        <w:t xml:space="preserve">Community Outreach and Advocacy:</w:t>
      </w:r>
      <w:r>
        <w:t xml:space="preserve"> </w:t>
      </w:r>
      <w:r>
        <w:t xml:space="preserve">Design and implementation of community-based intervention programmes targeting vulnerable populations in the Dubai metropolitan area.</w:t>
      </w:r>
    </w:p>
    <w:p>
      <w:pPr>
        <w:numPr>
          <w:ilvl w:val="0"/>
          <w:numId w:val="1001"/>
        </w:numPr>
        <w:pStyle w:val="Compact"/>
      </w:pPr>
      <w:r>
        <w:rPr>
          <w:bCs/>
          <w:b/>
        </w:rPr>
        <w:t xml:space="preserve">Reporting and Documentation:</w:t>
      </w:r>
      <w:r>
        <w:t xml:space="preserve"> </w:t>
      </w:r>
      <w:r>
        <w:t xml:space="preserve">Preparation of detailed case reports, progress summaries, and statutory filings as required by United Arab Emirates Dubai regulatory authorities.</w:t>
      </w:r>
    </w:p>
    <w:p>
      <w:pPr>
        <w:numPr>
          <w:ilvl w:val="0"/>
          <w:numId w:val="1001"/>
        </w:numPr>
        <w:pStyle w:val="Compact"/>
      </w:pPr>
      <w:r>
        <w:rPr>
          <w:bCs/>
          <w:b/>
        </w:rPr>
        <w:t xml:space="preserve">Emergency and Crisis Intervention:</w:t>
      </w:r>
      <w:r>
        <w:t xml:space="preserve"> </w:t>
      </w:r>
      <w:r>
        <w:t xml:space="preserve">Availability for urgent Social Worker response during critical incidents, including domestic violence situations, child protection concerns, and elder abuse cases.</w:t>
      </w:r>
    </w:p>
    <w:bookmarkEnd w:id="22"/>
    <w:bookmarkStart w:id="23" w:name="fee-structure-and-cost-breakdown"/>
    <w:p>
      <w:pPr>
        <w:pStyle w:val="Heading2"/>
      </w:pPr>
      <w:r>
        <w:t xml:space="preserve">3. Fee Structure and Cost Breakdown</w:t>
      </w:r>
    </w:p>
    <w:p>
      <w:pPr>
        <w:pStyle w:val="FirstParagraph"/>
      </w:pPr>
      <w:r>
        <w:t xml:space="preserve">The following table presents the itemized cost structure for the Social Worker services as outlined in this Quotation Estimate. All fees are quoted in United Arab Emirates Dirhams (AED) and are inclusive of applicable Value Added Tax (VAT) at the prevailing rate of 5% as mandated by the Federal Tax Authority of the United Arab Emirates.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Frequency</w:t>
            </w:r>
          </w:p>
        </w:tc>
        <w:tc>
          <w:tcPr/>
          <w:p>
            <w:pPr>
              <w:pStyle w:val="Compact"/>
              <w:jc w:val="left"/>
            </w:pPr>
            <w:r>
              <w:t xml:space="preserve">Unit Rate (AED)</w:t>
            </w:r>
          </w:p>
        </w:tc>
        <w:tc>
          <w:tcPr/>
          <w:p>
            <w:pPr>
              <w:pStyle w:val="Compact"/>
              <w:jc w:val="left"/>
            </w:pPr>
            <w:r>
              <w:t xml:space="preserve">Quantity</w:t>
            </w:r>
          </w:p>
        </w:tc>
        <w:tc>
          <w:tcPr/>
          <w:p>
            <w:pPr>
              <w:pStyle w:val="Compact"/>
              <w:jc w:val="left"/>
            </w:pPr>
            <w:r>
              <w:t xml:space="preserve">Subtotal (AED)</w:t>
            </w:r>
          </w:p>
        </w:tc>
      </w:tr>
      <w:tr>
        <w:tc>
          <w:tcPr/>
          <w:p>
            <w:pPr>
              <w:pStyle w:val="Compact"/>
              <w:jc w:val="left"/>
            </w:pPr>
            <w:r>
              <w:t xml:space="preserve">01</w:t>
            </w:r>
          </w:p>
        </w:tc>
        <w:tc>
          <w:tcPr/>
          <w:p>
            <w:pPr>
              <w:pStyle w:val="Compact"/>
              <w:jc w:val="left"/>
            </w:pPr>
            <w:r>
              <w:t xml:space="preserve">Initial Case Assessment &amp; Intake by Social Worker</w:t>
            </w:r>
          </w:p>
        </w:tc>
        <w:tc>
          <w:tcPr/>
          <w:p>
            <w:pPr>
              <w:pStyle w:val="Compact"/>
              <w:jc w:val="left"/>
            </w:pPr>
            <w:r>
              <w:t xml:space="preserve">One-time</w:t>
            </w:r>
          </w:p>
        </w:tc>
        <w:tc>
          <w:tcPr/>
          <w:p>
            <w:pPr>
              <w:pStyle w:val="Compact"/>
              <w:jc w:val="left"/>
            </w:pPr>
            <w:r>
              <w:t xml:space="preserve">1,200.00</w:t>
            </w:r>
          </w:p>
        </w:tc>
        <w:tc>
          <w:tcPr/>
          <w:p>
            <w:pPr>
              <w:pStyle w:val="Compact"/>
              <w:jc w:val="left"/>
            </w:pPr>
            <w:r>
              <w:t xml:space="preserve">1</w:t>
            </w:r>
          </w:p>
        </w:tc>
        <w:tc>
          <w:tcPr/>
          <w:p>
            <w:pPr>
              <w:pStyle w:val="Compact"/>
              <w:jc w:val="left"/>
            </w:pPr>
            <w:r>
              <w:t xml:space="preserve">1,200.00</w:t>
            </w:r>
          </w:p>
        </w:tc>
      </w:tr>
      <w:tr>
        <w:tc>
          <w:tcPr/>
          <w:p>
            <w:pPr>
              <w:pStyle w:val="Compact"/>
              <w:jc w:val="left"/>
            </w:pPr>
            <w:r>
              <w:t xml:space="preserve">02</w:t>
            </w:r>
          </w:p>
        </w:tc>
        <w:tc>
          <w:tcPr/>
          <w:p>
            <w:pPr>
              <w:pStyle w:val="Compact"/>
              <w:jc w:val="left"/>
            </w:pPr>
            <w:r>
              <w:t xml:space="preserve">Individual Counselling Sessions (Social Worker)</w:t>
            </w:r>
          </w:p>
        </w:tc>
        <w:tc>
          <w:tcPr/>
          <w:p>
            <w:pPr>
              <w:pStyle w:val="Compact"/>
              <w:jc w:val="left"/>
            </w:pPr>
            <w:r>
              <w:t xml:space="preserve">Per session (60 min)</w:t>
            </w:r>
          </w:p>
        </w:tc>
        <w:tc>
          <w:tcPr/>
          <w:p>
            <w:pPr>
              <w:pStyle w:val="Compact"/>
              <w:jc w:val="left"/>
            </w:pPr>
            <w:r>
              <w:t xml:space="preserve">850.00</w:t>
            </w:r>
          </w:p>
        </w:tc>
        <w:tc>
          <w:tcPr/>
          <w:p>
            <w:pPr>
              <w:pStyle w:val="Compact"/>
              <w:jc w:val="left"/>
            </w:pPr>
            <w:r>
              <w:t xml:space="preserve">12</w:t>
            </w:r>
          </w:p>
        </w:tc>
        <w:tc>
          <w:tcPr/>
          <w:p>
            <w:pPr>
              <w:pStyle w:val="Compact"/>
              <w:jc w:val="left"/>
            </w:pPr>
            <w:r>
              <w:t xml:space="preserve">10,200.00</w:t>
            </w:r>
          </w:p>
        </w:tc>
      </w:tr>
      <w:tr>
        <w:tc>
          <w:tcPr/>
          <w:p>
            <w:pPr>
              <w:pStyle w:val="Compact"/>
              <w:jc w:val="left"/>
            </w:pPr>
            <w:r>
              <w:t xml:space="preserve">03</w:t>
            </w:r>
          </w:p>
        </w:tc>
        <w:tc>
          <w:tcPr/>
          <w:p>
            <w:pPr>
              <w:pStyle w:val="Compact"/>
              <w:jc w:val="left"/>
            </w:pPr>
            <w:r>
              <w:t xml:space="preserve">Group Therapy / Support Group Facilitation</w:t>
            </w:r>
          </w:p>
        </w:tc>
        <w:tc>
          <w:tcPr/>
          <w:p>
            <w:pPr>
              <w:pStyle w:val="Compact"/>
              <w:jc w:val="left"/>
            </w:pPr>
            <w:r>
              <w:t xml:space="preserve">Per session (90 min)</w:t>
            </w:r>
          </w:p>
        </w:tc>
        <w:tc>
          <w:tcPr/>
          <w:p>
            <w:pPr>
              <w:pStyle w:val="Compact"/>
              <w:jc w:val="left"/>
            </w:pPr>
            <w:r>
              <w:t xml:space="preserve">1,500.00</w:t>
            </w:r>
          </w:p>
        </w:tc>
        <w:tc>
          <w:tcPr/>
          <w:p>
            <w:pPr>
              <w:pStyle w:val="Compact"/>
              <w:jc w:val="left"/>
            </w:pPr>
            <w:r>
              <w:t xml:space="preserve">6</w:t>
            </w:r>
          </w:p>
        </w:tc>
        <w:tc>
          <w:tcPr/>
          <w:p>
            <w:pPr>
              <w:pStyle w:val="Compact"/>
              <w:jc w:val="left"/>
            </w:pPr>
            <w:r>
              <w:t xml:space="preserve">9,000.00</w:t>
            </w:r>
          </w:p>
        </w:tc>
      </w:tr>
      <w:tr>
        <w:tc>
          <w:tcPr/>
          <w:p>
            <w:pPr>
              <w:pStyle w:val="Compact"/>
              <w:jc w:val="left"/>
            </w:pPr>
            <w:r>
              <w:t xml:space="preserve">04</w:t>
            </w:r>
          </w:p>
        </w:tc>
        <w:tc>
          <w:tcPr/>
          <w:p>
            <w:pPr>
              <w:pStyle w:val="Compact"/>
              <w:jc w:val="left"/>
            </w:pPr>
            <w:r>
              <w:t xml:space="preserve">Home Visit / Field Assessment (Dubai Area)</w:t>
            </w:r>
          </w:p>
        </w:tc>
        <w:tc>
          <w:tcPr/>
          <w:p>
            <w:pPr>
              <w:pStyle w:val="Compact"/>
              <w:jc w:val="left"/>
            </w:pPr>
            <w:r>
              <w:t xml:space="preserve">Per visit</w:t>
            </w:r>
          </w:p>
        </w:tc>
        <w:tc>
          <w:tcPr/>
          <w:p>
            <w:pPr>
              <w:pStyle w:val="Compact"/>
              <w:jc w:val="left"/>
            </w:pPr>
            <w:r>
              <w:t xml:space="preserve">1,100.00</w:t>
            </w:r>
          </w:p>
        </w:tc>
        <w:tc>
          <w:tcPr/>
          <w:p>
            <w:pPr>
              <w:pStyle w:val="Compact"/>
              <w:jc w:val="left"/>
            </w:pPr>
            <w:r>
              <w:t xml:space="preserve">4</w:t>
            </w:r>
          </w:p>
        </w:tc>
        <w:tc>
          <w:tcPr/>
          <w:p>
            <w:pPr>
              <w:pStyle w:val="Compact"/>
              <w:jc w:val="left"/>
            </w:pPr>
            <w:r>
              <w:t xml:space="preserve">4,400.00</w:t>
            </w:r>
          </w:p>
        </w:tc>
      </w:tr>
      <w:tr>
        <w:tc>
          <w:tcPr/>
          <w:p>
            <w:pPr>
              <w:pStyle w:val="Compact"/>
              <w:jc w:val="left"/>
            </w:pPr>
            <w:r>
              <w:t xml:space="preserve">05</w:t>
            </w:r>
          </w:p>
        </w:tc>
        <w:tc>
          <w:tcPr/>
          <w:p>
            <w:pPr>
              <w:pStyle w:val="Compact"/>
              <w:jc w:val="left"/>
            </w:pPr>
            <w:r>
              <w:t xml:space="preserve">Case Management &amp; Government Liaison</w:t>
            </w:r>
          </w:p>
        </w:tc>
        <w:tc>
          <w:tcPr/>
          <w:p>
            <w:pPr>
              <w:pStyle w:val="Compact"/>
              <w:jc w:val="left"/>
            </w:pPr>
            <w:r>
              <w:t xml:space="preserve">Monthly retainer</w:t>
            </w:r>
          </w:p>
        </w:tc>
        <w:tc>
          <w:tcPr/>
          <w:p>
            <w:pPr>
              <w:pStyle w:val="Compact"/>
              <w:jc w:val="left"/>
            </w:pPr>
            <w:r>
              <w:t xml:space="preserve">3,500.00</w:t>
            </w:r>
          </w:p>
        </w:tc>
        <w:tc>
          <w:tcPr/>
          <w:p>
            <w:pPr>
              <w:pStyle w:val="Compact"/>
              <w:jc w:val="left"/>
            </w:pPr>
            <w:r>
              <w:t xml:space="preserve">3</w:t>
            </w:r>
          </w:p>
        </w:tc>
        <w:tc>
          <w:tcPr/>
          <w:p>
            <w:pPr>
              <w:pStyle w:val="Compact"/>
              <w:jc w:val="left"/>
            </w:pPr>
            <w:r>
              <w:t xml:space="preserve">10,500.00</w:t>
            </w:r>
          </w:p>
        </w:tc>
      </w:tr>
      <w:tr>
        <w:tc>
          <w:tcPr/>
          <w:p>
            <w:pPr>
              <w:pStyle w:val="Compact"/>
              <w:jc w:val="left"/>
            </w:pPr>
            <w:r>
              <w:t xml:space="preserve">06</w:t>
            </w:r>
          </w:p>
        </w:tc>
        <w:tc>
          <w:tcPr/>
          <w:p>
            <w:pPr>
              <w:pStyle w:val="Compact"/>
              <w:jc w:val="left"/>
            </w:pPr>
            <w:r>
              <w:t xml:space="preserve">Emergency / Crisis Intervention (Social Worker)</w:t>
            </w:r>
          </w:p>
        </w:tc>
        <w:tc>
          <w:tcPr/>
          <w:p>
            <w:pPr>
              <w:pStyle w:val="Compact"/>
              <w:jc w:val="left"/>
            </w:pPr>
            <w:r>
              <w:t xml:space="preserve">Per incident</w:t>
            </w:r>
          </w:p>
        </w:tc>
        <w:tc>
          <w:tcPr/>
          <w:p>
            <w:pPr>
              <w:pStyle w:val="Compact"/>
              <w:jc w:val="left"/>
            </w:pPr>
            <w:r>
              <w:t xml:space="preserve">2,000.00</w:t>
            </w:r>
          </w:p>
        </w:tc>
        <w:tc>
          <w:tcPr/>
          <w:p>
            <w:pPr>
              <w:pStyle w:val="Compact"/>
              <w:jc w:val="left"/>
            </w:pPr>
            <w:r>
              <w:t xml:space="preserve">2</w:t>
            </w:r>
          </w:p>
        </w:tc>
        <w:tc>
          <w:tcPr/>
          <w:p>
            <w:pPr>
              <w:pStyle w:val="Compact"/>
              <w:jc w:val="left"/>
            </w:pPr>
            <w:r>
              <w:t xml:space="preserve">4,000.00</w:t>
            </w:r>
          </w:p>
        </w:tc>
      </w:tr>
      <w:tr>
        <w:tc>
          <w:tcPr/>
          <w:p>
            <w:pPr>
              <w:pStyle w:val="Compact"/>
              <w:jc w:val="left"/>
            </w:pPr>
            <w:r>
              <w:t xml:space="preserve">07</w:t>
            </w:r>
          </w:p>
        </w:tc>
        <w:tc>
          <w:tcPr/>
          <w:p>
            <w:pPr>
              <w:pStyle w:val="Compact"/>
              <w:jc w:val="left"/>
            </w:pPr>
            <w:r>
              <w:t xml:space="preserve">Progress Reporting &amp; Statutory Documentation</w:t>
            </w:r>
          </w:p>
        </w:tc>
        <w:tc>
          <w:tcPr/>
          <w:p>
            <w:pPr>
              <w:pStyle w:val="Compact"/>
              <w:jc w:val="left"/>
            </w:pPr>
            <w:r>
              <w:t xml:space="preserve">Per report</w:t>
            </w:r>
          </w:p>
        </w:tc>
        <w:tc>
          <w:tcPr/>
          <w:p>
            <w:pPr>
              <w:pStyle w:val="Compact"/>
              <w:jc w:val="left"/>
            </w:pPr>
            <w:r>
              <w:t xml:space="preserve">600.00</w:t>
            </w:r>
          </w:p>
        </w:tc>
        <w:tc>
          <w:tcPr/>
          <w:p>
            <w:pPr>
              <w:pStyle w:val="Compact"/>
              <w:jc w:val="left"/>
            </w:pPr>
            <w:r>
              <w:t xml:space="preserve">4</w:t>
            </w:r>
          </w:p>
        </w:tc>
        <w:tc>
          <w:tcPr/>
          <w:p>
            <w:pPr>
              <w:pStyle w:val="Compact"/>
              <w:jc w:val="left"/>
            </w:pPr>
            <w:r>
              <w:t xml:space="preserve">2,400.00</w:t>
            </w:r>
          </w:p>
        </w:tc>
      </w:tr>
      <w:tr>
        <w:tc>
          <w:tcPr/>
          <w:p>
            <w:pPr>
              <w:pStyle w:val="Compact"/>
              <w:jc w:val="left"/>
            </w:pPr>
            <w:r>
              <w:t xml:space="preserve">08</w:t>
            </w:r>
          </w:p>
        </w:tc>
        <w:tc>
          <w:tcPr/>
          <w:p>
            <w:pPr>
              <w:pStyle w:val="Compact"/>
              <w:jc w:val="left"/>
            </w:pPr>
            <w:r>
              <w:t xml:space="preserve">Community Outreach Programme Design &amp; Delivery</w:t>
            </w:r>
          </w:p>
        </w:tc>
        <w:tc>
          <w:tcPr/>
          <w:p>
            <w:pPr>
              <w:pStyle w:val="Compact"/>
              <w:jc w:val="left"/>
            </w:pPr>
            <w:r>
              <w:t xml:space="preserve">One-time project</w:t>
            </w:r>
          </w:p>
        </w:tc>
        <w:tc>
          <w:tcPr/>
          <w:p>
            <w:pPr>
              <w:pStyle w:val="Compact"/>
              <w:jc w:val="left"/>
            </w:pPr>
            <w:r>
              <w:t xml:space="preserve">8,000.00</w:t>
            </w:r>
          </w:p>
        </w:tc>
        <w:tc>
          <w:tcPr/>
          <w:p>
            <w:pPr>
              <w:pStyle w:val="Compact"/>
              <w:jc w:val="left"/>
            </w:pPr>
            <w:r>
              <w:t xml:space="preserve">1</w:t>
            </w:r>
          </w:p>
        </w:tc>
        <w:tc>
          <w:tcPr/>
          <w:p>
            <w:pPr>
              <w:pStyle w:val="Compact"/>
              <w:jc w:val="left"/>
            </w:pPr>
            <w:r>
              <w:t xml:space="preserve">8,000.00</w:t>
            </w:r>
          </w:p>
        </w:tc>
      </w:tr>
      <w:tr>
        <w:tc>
          <w:tcPr>
            <w:gridSpan w:val="5"/>
          </w:tcPr>
          <w:p>
            <w:pPr>
              <w:pStyle w:val="Compact"/>
              <w:jc w:val="left"/>
            </w:pPr>
            <w:r>
              <w:t xml:space="preserve">Subtotal (AED)</w:t>
            </w:r>
          </w:p>
        </w:tc>
        <w:tc>
          <w:tcPr/>
          <w:p>
            <w:pPr>
              <w:pStyle w:val="Compact"/>
              <w:jc w:val="left"/>
            </w:pPr>
            <w:r>
              <w:t xml:space="preserve">50,700.00</w:t>
            </w:r>
          </w:p>
        </w:tc>
      </w:tr>
      <w:tr>
        <w:tc>
          <w:tcPr>
            <w:gridSpan w:val="5"/>
          </w:tcPr>
          <w:p>
            <w:pPr>
              <w:pStyle w:val="Compact"/>
              <w:jc w:val="left"/>
            </w:pPr>
            <w:r>
              <w:t xml:space="preserve">VAT @ 5% (AED)</w:t>
            </w:r>
          </w:p>
        </w:tc>
        <w:tc>
          <w:tcPr/>
          <w:p>
            <w:pPr>
              <w:pStyle w:val="Compact"/>
              <w:jc w:val="left"/>
            </w:pPr>
            <w:r>
              <w:t xml:space="preserve">2,535.00</w:t>
            </w:r>
          </w:p>
        </w:tc>
      </w:tr>
      <w:tr>
        <w:tc>
          <w:tcPr>
            <w:gridSpan w:val="5"/>
          </w:tcPr>
          <w:p>
            <w:pPr>
              <w:pStyle w:val="Compact"/>
              <w:jc w:val="left"/>
            </w:pPr>
            <w:r>
              <w:rPr>
                <w:bCs/>
                <w:b/>
              </w:rPr>
              <w:t xml:space="preserve">TOTAL AMOUNT DUE (AED)</w:t>
            </w:r>
          </w:p>
        </w:tc>
        <w:tc>
          <w:tcPr/>
          <w:p>
            <w:pPr>
              <w:pStyle w:val="Compact"/>
              <w:jc w:val="left"/>
            </w:pPr>
            <w:r>
              <w:rPr>
                <w:bCs/>
                <w:b/>
              </w:rPr>
              <w:t xml:space="preserve">53,235.00</w:t>
            </w:r>
          </w:p>
        </w:tc>
      </w:tr>
    </w:tbl>
    <w:bookmarkEnd w:id="23"/>
    <w:bookmarkStart w:id="24" w:name="payment-terms"/>
    <w:p>
      <w:pPr>
        <w:pStyle w:val="Heading2"/>
      </w:pPr>
      <w:r>
        <w:t xml:space="preserve">4. Payment Terms</w:t>
      </w:r>
    </w:p>
    <w:p>
      <w:pPr>
        <w:pStyle w:val="FirstParagraph"/>
      </w:pPr>
      <w:r>
        <w:t xml:space="preserve">Payment for the services described in this Quotation Estimate shall be made in accordance with the following schedule: a 40% advance payment (AED 21,294.00) is due upon acceptance of this Quotation Estimate and execution of the service agreement. The remaining 60% (AED 31,941.00) shall be payable in two equal monthly instalments of AED 15,970.50, due on the 5th of the second and third months of service delivery. All payments shall be remitted via bank transfer to the account of Al Noor Community Services LLC, Dubai, United Arab Emirates. Late payments shall attract a penalty of 2% per month as per UAE commercial law.</w:t>
      </w:r>
    </w:p>
    <w:bookmarkEnd w:id="24"/>
    <w:bookmarkStart w:id="25" w:name="terms-and-conditions"/>
    <w:p>
      <w:pPr>
        <w:pStyle w:val="Heading2"/>
      </w:pPr>
      <w:r>
        <w:t xml:space="preserve">5. Terms and Conditions</w:t>
      </w:r>
    </w:p>
    <w:p>
      <w:pPr>
        <w:numPr>
          <w:ilvl w:val="0"/>
          <w:numId w:val="1002"/>
        </w:numPr>
        <w:pStyle w:val="Compact"/>
      </w:pPr>
      <w:r>
        <w:t xml:space="preserve">This Quotation Estimate is valid for a period of thirty (30) calendar days from the date of issue. Beyond this period, all rates and availability of the Social Worker are subject to revision without prior notice.</w:t>
      </w:r>
    </w:p>
    <w:p>
      <w:pPr>
        <w:numPr>
          <w:ilvl w:val="0"/>
          <w:numId w:val="1002"/>
        </w:numPr>
        <w:pStyle w:val="Compact"/>
      </w:pPr>
      <w:r>
        <w:t xml:space="preserve">The Social Worker engaged under this Quotation Estimate holds a valid professional licence issued by the relevant UAE regulatory authority and maintains full professional indemnity insurance coverage of no less than AED 2,000,000.</w:t>
      </w:r>
    </w:p>
    <w:p>
      <w:pPr>
        <w:numPr>
          <w:ilvl w:val="0"/>
          <w:numId w:val="1002"/>
        </w:numPr>
        <w:pStyle w:val="Compact"/>
      </w:pPr>
      <w:r>
        <w:t xml:space="preserve">All services shall be delivered in strict compliance with the United Arab Emirates Federal Law No. 3 of 2016 on Social Welfare and the Dubai-specific social work practice guidelines.</w:t>
      </w:r>
    </w:p>
    <w:p>
      <w:pPr>
        <w:numPr>
          <w:ilvl w:val="0"/>
          <w:numId w:val="1002"/>
        </w:numPr>
        <w:pStyle w:val="Compact"/>
      </w:pPr>
      <w:r>
        <w:t xml:space="preserve">Client confidentiality is paramount. All case records, session notes, and personal data shall be handled in accordance with the UAE Data Protection Law (Federal Decree-Law No. 45 of 2021) and shall not be disclosed to any third party without written consent, except where mandated by law.</w:t>
      </w:r>
    </w:p>
    <w:p>
      <w:pPr>
        <w:numPr>
          <w:ilvl w:val="0"/>
          <w:numId w:val="1002"/>
        </w:numPr>
        <w:pStyle w:val="Compact"/>
      </w:pPr>
      <w:r>
        <w:t xml:space="preserve">Any additional services beyond the scope defined in this Quotation Estimate shall be subject to a separate written amendment and additional fee approval prior to commencement.</w:t>
      </w:r>
    </w:p>
    <w:p>
      <w:pPr>
        <w:numPr>
          <w:ilvl w:val="0"/>
          <w:numId w:val="1002"/>
        </w:numPr>
        <w:pStyle w:val="Compact"/>
      </w:pPr>
      <w:r>
        <w:t xml:space="preserve">This Quotation Estimate does not constitute a binding contract until formally accepted in writing by both parties and countersigned by authorized representatives.</w:t>
      </w:r>
    </w:p>
    <w:p>
      <w:pPr>
        <w:numPr>
          <w:ilvl w:val="0"/>
          <w:numId w:val="1002"/>
        </w:numPr>
        <w:pStyle w:val="Compact"/>
      </w:pPr>
      <w:r>
        <w:t xml:space="preserve">Disputes arising from this Quotation Estimate or the subsequent service agreement shall be resolved through the Dubai Courts or, at the client’s election, through arbitration under the DIFC-LCIA Arbitration Rules in Dubai, United Arab Emirates.</w:t>
      </w:r>
    </w:p>
    <w:p>
      <w:pPr>
        <w:numPr>
          <w:ilvl w:val="0"/>
          <w:numId w:val="1002"/>
        </w:numPr>
        <w:pStyle w:val="Compact"/>
      </w:pPr>
      <w:r>
        <w:t xml:space="preserve">The Social Worker reserves the right to withdraw from a case on ethical grounds in accordance with the UAE Social Work Code of Ethics, with a minimum of 72 hours’ written notice to the client.</w:t>
      </w:r>
    </w:p>
    <w:bookmarkEnd w:id="25"/>
    <w:bookmarkStart w:id="26" w:name="acceptance-and-authorization"/>
    <w:p>
      <w:pPr>
        <w:pStyle w:val="Heading2"/>
      </w:pPr>
      <w:r>
        <w:t xml:space="preserve">6. Acceptance and Authorization</w:t>
      </w:r>
    </w:p>
    <w:p>
      <w:pPr>
        <w:pStyle w:val="FirstParagraph"/>
      </w:pPr>
      <w:r>
        <w:t xml:space="preserve">By signing below, the client acknowledges receipt of this Quotation Estimate for Social Worker services in United Arab Emirates Dubai and agrees to the terms, conditions, and fee structure outlined herein. This Quotation Estimate shall serve as the foundational document for the subsequent service-level agreement.</w:t>
      </w:r>
    </w:p>
    <w:p>
      <w:pPr>
        <w:pStyle w:val="BodyText"/>
      </w:pPr>
      <w:r>
        <w:rPr>
          <w:bCs/>
          <w:b/>
        </w:rPr>
        <w:t xml:space="preserve">For Al Noor Community Services LLC</w:t>
      </w:r>
      <w:r>
        <w:br/>
      </w:r>
      <w:r>
        <w:t xml:space="preserve">Authorized Signatory</w:t>
      </w:r>
      <w:r>
        <w:br/>
      </w:r>
      <w:r>
        <w:t xml:space="preserve">Name: _________________________</w:t>
      </w:r>
      <w:r>
        <w:br/>
      </w:r>
      <w:r>
        <w:t xml:space="preserve">Title: _________________________</w:t>
      </w:r>
      <w:r>
        <w:br/>
      </w:r>
      <w:r>
        <w:t xml:space="preserve">Date: _________________________</w:t>
      </w:r>
    </w:p>
    <w:p>
      <w:pPr>
        <w:pStyle w:val="BodyText"/>
      </w:pPr>
      <w:r>
        <w:rPr>
          <w:bCs/>
          <w:b/>
        </w:rPr>
        <w:t xml:space="preserve">For the Client / Organization</w:t>
      </w:r>
      <w:r>
        <w:br/>
      </w:r>
      <w:r>
        <w:t xml:space="preserve">Authorized Signatory</w:t>
      </w:r>
      <w:r>
        <w:br/>
      </w:r>
      <w:r>
        <w:t xml:space="preserve">Name: _________________________</w:t>
      </w:r>
      <w:r>
        <w:br/>
      </w:r>
      <w:r>
        <w:t xml:space="preserve">Title: _________________________</w:t>
      </w:r>
      <w:r>
        <w:br/>
      </w:r>
      <w:r>
        <w:t xml:space="preserve">Date: _________________________</w:t>
      </w:r>
    </w:p>
    <w:p>
      <w:pPr>
        <w:pStyle w:val="BodyText"/>
      </w:pPr>
      <w:r>
        <w:t xml:space="preserve">Al Noor Community Services LLC — Trade License No. 1048293 — Dubai, United Arab Emirates</w:t>
      </w:r>
      <w:r>
        <w:br/>
      </w:r>
      <w:r>
        <w:t xml:space="preserve">This Quotation Estimate is the property of Al Noor Community Services LLC and is intended solely for the named recipient.</w:t>
      </w:r>
      <w:r>
        <w:br/>
      </w:r>
      <w:r>
        <w:t xml:space="preserve">© 2025 Al Noor Community Services LLC.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Social Worker Services - United Arab Emirates Dubai</dc:title>
  <dc:creator/>
  <dc:language>en</dc:language>
  <cp:keywords/>
  <dcterms:created xsi:type="dcterms:W3CDTF">2026-10-10T05:50:50Z</dcterms:created>
  <dcterms:modified xsi:type="dcterms:W3CDTF">2026-10-10T05:50:50Z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