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quotation-estimate"/>
    <w:p>
      <w:pPr>
        <w:pStyle w:val="Heading1"/>
      </w:pPr>
      <w:r>
        <w:t xml:space="preserve">QUOTATION ESTIMATE</w:t>
      </w:r>
    </w:p>
    <w:p>
      <w:pPr>
        <w:pStyle w:val="FirstParagraph"/>
      </w:pPr>
      <w:r>
        <w:rPr>
          <w:bCs/>
          <w:b/>
        </w:rPr>
        <w:t xml:space="preserve">Tashkent Social Services Agency (TSSA)</w:t>
      </w:r>
    </w:p>
    <w:p>
      <w:pPr>
        <w:pStyle w:val="BodyText"/>
      </w:pPr>
      <w:r>
        <w:t xml:space="preserve">142 Amir Temur Avenue, Tashkent, 100084, Uzbekistan</w:t>
      </w:r>
    </w:p>
    <w:p>
      <w:pPr>
        <w:pStyle w:val="BodyText"/>
      </w:pPr>
      <w:r>
        <w:t xml:space="preserve">Tel: +998 (71) 200-45-67 | Email: info@tssagency.uz</w:t>
      </w:r>
    </w:p>
    <w:p>
      <w:pPr>
        <w:pStyle w:val="BodyText"/>
      </w:pPr>
      <w:r>
        <w:t xml:space="preserve">Registration No: UZ-2019-SW-00482 | VAT ID: 2019482000</w:t>
      </w:r>
    </w:p>
    <w:bookmarkEnd w:id="20"/>
    <w:p>
      <w:pPr>
        <w:pStyle w:val="BodyText"/>
      </w:pPr>
      <w:r>
        <w:rPr>
          <w:bCs/>
          <w:b/>
        </w:rPr>
        <w:t xml:space="preserve">Quotation Estimate No:</w:t>
      </w:r>
      <w:r>
        <w:t xml:space="preserve"> </w:t>
      </w:r>
      <w:r>
        <w:t xml:space="preserve">QE-TSK-2025-0347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Ministry of Labor, Employment and Social Protection of the Republic of Uzbekistan</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Tashkent Social Services Agency (TSSA) to provide a comprehensive and itemized cost breakdown for the recruitment, deployment, and ongoing professional engagement of a qualified</w:t>
      </w:r>
      <w:r>
        <w:t xml:space="preserve"> </w:t>
      </w:r>
      <w:r>
        <w:t xml:space="preserve">Social Worker</w:t>
      </w:r>
      <w:r>
        <w:t xml:space="preserve"> </w:t>
      </w:r>
      <w:r>
        <w:t xml:space="preserve">within the administrative boundaries of</w:t>
      </w:r>
      <w:r>
        <w:t xml:space="preserve"> </w:t>
      </w:r>
      <w:r>
        <w:t xml:space="preserve">Uzbekistan Tashkent</w:t>
      </w:r>
      <w:r>
        <w:t xml:space="preserve">. The purpose of this document is to present all associated financial obligations, service deliverables, and contractual conditions in a transparent manner, enabling the requesting authority to make an informed procurement decision.</w:t>
      </w:r>
    </w:p>
    <w:p>
      <w:pPr>
        <w:pStyle w:val="BodyText"/>
      </w:pPr>
      <w:r>
        <w:t xml:space="preserve">The</w:t>
      </w:r>
      <w:r>
        <w:t xml:space="preserve"> </w:t>
      </w:r>
      <w:r>
        <w:t xml:space="preserve">Social Worker</w:t>
      </w:r>
      <w:r>
        <w:t xml:space="preserve"> </w:t>
      </w:r>
      <w:r>
        <w:t xml:space="preserve">services described herein are designed to support vulnerable populations across the districts of Tashkent city, including Yakkasaroy, Mirzo Ulugbek, Chilonzor, Yunusobod, and Sergeli. The scope encompasses case management, community outreach, family support interventions, crisis counseling, and coordination with municipal health and education departments throughout</w:t>
      </w:r>
      <w:r>
        <w:t xml:space="preserve"> </w:t>
      </w:r>
      <w:r>
        <w:t xml:space="preserve">Uzbekistan Tashkent</w:t>
      </w:r>
      <w:r>
        <w:t xml:space="preserve">.</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(Months)</w:t>
            </w:r>
          </w:p>
        </w:tc>
        <w:tc>
          <w:tcPr/>
          <w:p>
            <w:pPr>
              <w:pStyle w:val="Compact"/>
              <w:jc w:val="left"/>
            </w:pPr>
            <w:r>
              <w:t xml:space="preserve">Unit Price (UZS)</w:t>
            </w:r>
          </w:p>
        </w:tc>
        <w:tc>
          <w:tcPr/>
          <w:p>
            <w:pPr>
              <w:pStyle w:val="Compact"/>
              <w:jc w:val="left"/>
            </w:pPr>
            <w:r>
              <w:t xml:space="preserve">Total (UZS)</w:t>
            </w:r>
          </w:p>
        </w:tc>
      </w:tr>
      <w:tr>
        <w:tc>
          <w:tcPr/>
          <w:p>
            <w:pPr>
              <w:pStyle w:val="Compact"/>
              <w:jc w:val="left"/>
            </w:pPr>
            <w:r>
              <w:t xml:space="preserve">1</w:t>
            </w:r>
          </w:p>
        </w:tc>
        <w:tc>
          <w:tcPr/>
          <w:p>
            <w:pPr>
              <w:pStyle w:val="Compact"/>
              <w:jc w:val="left"/>
            </w:pPr>
            <w:r>
              <w:t xml:space="preserve">Recruitment and onboarding of a certified Social Worker (Bachelor's degree in Social Work, minimum 3 years experience in Uzbekistan Tashkent)</w:t>
            </w:r>
          </w:p>
        </w:tc>
        <w:tc>
          <w:tcPr/>
          <w:p>
            <w:pPr>
              <w:pStyle w:val="Compact"/>
              <w:jc w:val="left"/>
            </w:pPr>
            <w:r>
              <w:t xml:space="preserve">1</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2</w:t>
            </w:r>
          </w:p>
        </w:tc>
        <w:tc>
          <w:tcPr/>
          <w:p>
            <w:pPr>
              <w:pStyle w:val="Compact"/>
              <w:jc w:val="left"/>
            </w:pPr>
            <w:r>
              <w:t xml:space="preserve">Monthly professional salary and statutory social contributions for the Social Worker</w:t>
            </w:r>
          </w:p>
        </w:tc>
        <w:tc>
          <w:tcPr/>
          <w:p>
            <w:pPr>
              <w:pStyle w:val="Compact"/>
              <w:jc w:val="left"/>
            </w:pPr>
            <w:r>
              <w:t xml:space="preserve">1</w:t>
            </w:r>
          </w:p>
        </w:tc>
        <w:tc>
          <w:tcPr/>
          <w:p>
            <w:pPr>
              <w:pStyle w:val="Compact"/>
              <w:jc w:val="left"/>
            </w:pPr>
            <w:r>
              <w:t xml:space="preserve">12</w:t>
            </w:r>
          </w:p>
        </w:tc>
        <w:tc>
          <w:tcPr/>
          <w:p>
            <w:pPr>
              <w:pStyle w:val="Compact"/>
              <w:jc w:val="left"/>
            </w:pPr>
            <w:r>
              <w:t xml:space="preserve">8,200,000</w:t>
            </w:r>
          </w:p>
        </w:tc>
        <w:tc>
          <w:tcPr/>
          <w:p>
            <w:pPr>
              <w:pStyle w:val="Compact"/>
              <w:jc w:val="left"/>
            </w:pPr>
            <w:r>
              <w:t xml:space="preserve">98,400,000</w:t>
            </w:r>
          </w:p>
        </w:tc>
      </w:tr>
      <w:tr>
        <w:tc>
          <w:tcPr/>
          <w:p>
            <w:pPr>
              <w:pStyle w:val="Compact"/>
              <w:jc w:val="left"/>
            </w:pPr>
            <w:r>
              <w:t xml:space="preserve">3</w:t>
            </w:r>
          </w:p>
        </w:tc>
        <w:tc>
          <w:tcPr/>
          <w:p>
            <w:pPr>
              <w:pStyle w:val="Compact"/>
              <w:jc w:val="left"/>
            </w:pPr>
            <w:r>
              <w:t xml:space="preserve">Continuing professional development and mandatory training (Uzbek language, child protection protocols, trauma-informed care)</w:t>
            </w:r>
          </w:p>
        </w:tc>
        <w:tc>
          <w:tcPr/>
          <w:p>
            <w:pPr>
              <w:pStyle w:val="Compact"/>
              <w:jc w:val="left"/>
            </w:pPr>
            <w:r>
              <w:t xml:space="preserve">1</w:t>
            </w:r>
          </w:p>
        </w:tc>
        <w:tc>
          <w:tcPr/>
          <w:p>
            <w:pPr>
              <w:pStyle w:val="Compact"/>
              <w:jc w:val="left"/>
            </w:pPr>
            <w:r>
              <w:t xml:space="preserve">12</w:t>
            </w:r>
          </w:p>
        </w:tc>
        <w:tc>
          <w:tcPr/>
          <w:p>
            <w:pPr>
              <w:pStyle w:val="Compact"/>
              <w:jc w:val="left"/>
            </w:pPr>
            <w:r>
              <w:t xml:space="preserve">1,800,000</w:t>
            </w:r>
          </w:p>
        </w:tc>
        <w:tc>
          <w:tcPr/>
          <w:p>
            <w:pPr>
              <w:pStyle w:val="Compact"/>
              <w:jc w:val="left"/>
            </w:pPr>
            <w:r>
              <w:t xml:space="preserve">21,600,000</w:t>
            </w:r>
          </w:p>
        </w:tc>
      </w:tr>
      <w:tr>
        <w:tc>
          <w:tcPr/>
          <w:p>
            <w:pPr>
              <w:pStyle w:val="Compact"/>
              <w:jc w:val="left"/>
            </w:pPr>
            <w:r>
              <w:t xml:space="preserve">4</w:t>
            </w:r>
          </w:p>
        </w:tc>
        <w:tc>
          <w:tcPr/>
          <w:p>
            <w:pPr>
              <w:pStyle w:val="Compact"/>
              <w:jc w:val="left"/>
            </w:pPr>
            <w:r>
              <w:t xml:space="preserve">Field transportation and community outreach allowance within Tashkent city limits</w:t>
            </w:r>
          </w:p>
        </w:tc>
        <w:tc>
          <w:tcPr/>
          <w:p>
            <w:pPr>
              <w:pStyle w:val="Compact"/>
              <w:jc w:val="left"/>
            </w:pPr>
            <w:r>
              <w:t xml:space="preserve">1</w:t>
            </w:r>
          </w:p>
        </w:tc>
        <w:tc>
          <w:tcPr/>
          <w:p>
            <w:pPr>
              <w:pStyle w:val="Compact"/>
              <w:jc w:val="left"/>
            </w:pPr>
            <w:r>
              <w:t xml:space="preserve">12</w:t>
            </w:r>
          </w:p>
        </w:tc>
        <w:tc>
          <w:tcPr/>
          <w:p>
            <w:pPr>
              <w:pStyle w:val="Compact"/>
              <w:jc w:val="left"/>
            </w:pPr>
            <w:r>
              <w:t xml:space="preserve">950,000</w:t>
            </w:r>
          </w:p>
        </w:tc>
        <w:tc>
          <w:tcPr/>
          <w:p>
            <w:pPr>
              <w:pStyle w:val="Compact"/>
              <w:jc w:val="left"/>
            </w:pPr>
            <w:r>
              <w:t xml:space="preserve">11,400,000</w:t>
            </w:r>
          </w:p>
        </w:tc>
      </w:tr>
      <w:tr>
        <w:tc>
          <w:tcPr/>
          <w:p>
            <w:pPr>
              <w:pStyle w:val="Compact"/>
              <w:jc w:val="left"/>
            </w:pPr>
            <w:r>
              <w:t xml:space="preserve">5</w:t>
            </w:r>
          </w:p>
        </w:tc>
        <w:tc>
          <w:tcPr/>
          <w:p>
            <w:pPr>
              <w:pStyle w:val="Compact"/>
              <w:jc w:val="left"/>
            </w:pPr>
            <w:r>
              <w:t xml:space="preserve">Office workspace, IT equipment, and administrative support allocation</w:t>
            </w:r>
          </w:p>
        </w:tc>
        <w:tc>
          <w:tcPr/>
          <w:p>
            <w:pPr>
              <w:pStyle w:val="Compact"/>
              <w:jc w:val="left"/>
            </w:pPr>
            <w:r>
              <w:t xml:space="preserve">1</w:t>
            </w:r>
          </w:p>
        </w:tc>
        <w:tc>
          <w:tcPr/>
          <w:p>
            <w:pPr>
              <w:pStyle w:val="Compact"/>
              <w:jc w:val="left"/>
            </w:pPr>
            <w:r>
              <w:t xml:space="preserve">12</w:t>
            </w:r>
          </w:p>
        </w:tc>
        <w:tc>
          <w:tcPr/>
          <w:p>
            <w:pPr>
              <w:pStyle w:val="Compact"/>
              <w:jc w:val="left"/>
            </w:pPr>
            <w:r>
              <w:t xml:space="preserve">2,400,000</w:t>
            </w:r>
          </w:p>
        </w:tc>
        <w:tc>
          <w:tcPr/>
          <w:p>
            <w:pPr>
              <w:pStyle w:val="Compact"/>
              <w:jc w:val="left"/>
            </w:pPr>
            <w:r>
              <w:t xml:space="preserve">28,800,000</w:t>
            </w:r>
          </w:p>
        </w:tc>
      </w:tr>
      <w:tr>
        <w:tc>
          <w:tcPr/>
          <w:p>
            <w:pPr>
              <w:pStyle w:val="Compact"/>
              <w:jc w:val="left"/>
            </w:pPr>
            <w:r>
              <w:t xml:space="preserve">6</w:t>
            </w:r>
          </w:p>
        </w:tc>
        <w:tc>
          <w:tcPr/>
          <w:p>
            <w:pPr>
              <w:pStyle w:val="Compact"/>
              <w:jc w:val="left"/>
            </w:pPr>
            <w:r>
              <w:t xml:space="preserve">Supervision and quality assurance by a Senior Social Work Coordinator</w:t>
            </w:r>
          </w:p>
        </w:tc>
        <w:tc>
          <w:tcPr/>
          <w:p>
            <w:pPr>
              <w:pStyle w:val="Compact"/>
              <w:jc w:val="left"/>
            </w:pPr>
            <w:r>
              <w:t xml:space="preserve">1</w:t>
            </w:r>
          </w:p>
        </w:tc>
        <w:tc>
          <w:tcPr/>
          <w:p>
            <w:pPr>
              <w:pStyle w:val="Compact"/>
              <w:jc w:val="left"/>
            </w:pPr>
            <w:r>
              <w:t xml:space="preserve">12</w:t>
            </w:r>
          </w:p>
        </w:tc>
        <w:tc>
          <w:tcPr/>
          <w:p>
            <w:pPr>
              <w:pStyle w:val="Compact"/>
              <w:jc w:val="left"/>
            </w:pPr>
            <w:r>
              <w:t xml:space="preserve">3,100,000</w:t>
            </w:r>
          </w:p>
        </w:tc>
        <w:tc>
          <w:tcPr/>
          <w:p>
            <w:pPr>
              <w:pStyle w:val="Compact"/>
              <w:jc w:val="left"/>
            </w:pPr>
            <w:r>
              <w:t xml:space="preserve">37,200,000</w:t>
            </w:r>
          </w:p>
        </w:tc>
      </w:tr>
      <w:tr>
        <w:tc>
          <w:tcPr/>
          <w:p>
            <w:pPr>
              <w:pStyle w:val="Compact"/>
              <w:jc w:val="left"/>
            </w:pPr>
            <w:r>
              <w:t xml:space="preserve">7</w:t>
            </w:r>
          </w:p>
        </w:tc>
        <w:tc>
          <w:tcPr/>
          <w:p>
            <w:pPr>
              <w:pStyle w:val="Compact"/>
              <w:jc w:val="left"/>
            </w:pPr>
            <w:r>
              <w:t xml:space="preserve">Insurance coverage (professional liability, health, and accident) for the Social Worker</w:t>
            </w:r>
          </w:p>
        </w:tc>
        <w:tc>
          <w:tcPr/>
          <w:p>
            <w:pPr>
              <w:pStyle w:val="Compact"/>
              <w:jc w:val="left"/>
            </w:pPr>
            <w:r>
              <w:t xml:space="preserve">1</w:t>
            </w:r>
          </w:p>
        </w:tc>
        <w:tc>
          <w:tcPr/>
          <w:p>
            <w:pPr>
              <w:pStyle w:val="Compact"/>
              <w:jc w:val="left"/>
            </w:pPr>
            <w:r>
              <w:t xml:space="preserve">12</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8</w:t>
            </w:r>
          </w:p>
        </w:tc>
        <w:tc>
          <w:tcPr/>
          <w:p>
            <w:pPr>
              <w:pStyle w:val="Compact"/>
              <w:jc w:val="left"/>
            </w:pPr>
            <w:r>
              <w:t xml:space="preserve">Reporting, documentation, and compliance with Ministry of Labor regulations in Uzbekistan</w:t>
            </w:r>
          </w:p>
        </w:tc>
        <w:tc>
          <w:tcPr/>
          <w:p>
            <w:pPr>
              <w:pStyle w:val="Compact"/>
              <w:jc w:val="left"/>
            </w:pPr>
            <w:r>
              <w:t xml:space="preserve">1</w:t>
            </w:r>
          </w:p>
        </w:tc>
        <w:tc>
          <w:tcPr/>
          <w:p>
            <w:pPr>
              <w:pStyle w:val="Compact"/>
              <w:jc w:val="left"/>
            </w:pPr>
            <w:r>
              <w:t xml:space="preserve">12</w:t>
            </w:r>
          </w:p>
        </w:tc>
        <w:tc>
          <w:tcPr/>
          <w:p>
            <w:pPr>
              <w:pStyle w:val="Compact"/>
              <w:jc w:val="left"/>
            </w:pPr>
            <w:r>
              <w:t xml:space="preserve">750,000</w:t>
            </w:r>
          </w:p>
        </w:tc>
        <w:tc>
          <w:tcPr/>
          <w:p>
            <w:pPr>
              <w:pStyle w:val="Compact"/>
              <w:jc w:val="left"/>
            </w:pPr>
            <w:r>
              <w:t xml:space="preserve">9,000,000</w:t>
            </w:r>
          </w:p>
        </w:tc>
      </w:tr>
      <w:tr>
        <w:tc>
          <w:tcPr>
            <w:gridSpan w:val="5"/>
          </w:tcPr>
          <w:p>
            <w:pPr>
              <w:pStyle w:val="Compact"/>
              <w:jc w:val="right"/>
            </w:pPr>
            <w:r>
              <w:t xml:space="preserve">TOTAL ESTIMATED COST (12-Month Contract)</w:t>
            </w:r>
          </w:p>
        </w:tc>
        <w:tc>
          <w:tcPr/>
          <w:p>
            <w:pPr>
              <w:pStyle w:val="Compact"/>
              <w:jc w:val="left"/>
            </w:pPr>
            <w:r>
              <w:t xml:space="preserve">233,300,000 UZS</w:t>
            </w:r>
          </w:p>
        </w:tc>
      </w:tr>
      <w:tr>
        <w:tc>
          <w:tcPr>
            <w:gridSpan w:val="5"/>
          </w:tcPr>
          <w:p>
            <w:pPr>
              <w:pStyle w:val="Compact"/>
              <w:jc w:val="right"/>
            </w:pPr>
            <w:r>
              <w:t xml:space="preserve">Approximate Equivalent in USD (at 1 USD = 12,800 UZS)</w:t>
            </w:r>
          </w:p>
        </w:tc>
        <w:tc>
          <w:tcPr/>
          <w:p>
            <w:pPr>
              <w:pStyle w:val="Compact"/>
              <w:jc w:val="left"/>
            </w:pPr>
            <w:r>
              <w:t xml:space="preserve">≈ 18,227 USD</w:t>
            </w:r>
          </w:p>
        </w:tc>
      </w:tr>
    </w:tbl>
    <w:bookmarkEnd w:id="22"/>
    <w:bookmarkStart w:id="23" w:name="Xe8974c98ab55cc5b63981c1be6c0a2165a18528"/>
    <w:p>
      <w:pPr>
        <w:pStyle w:val="Heading2"/>
      </w:pPr>
      <w:r>
        <w:t xml:space="preserve">3. Service Deliverables and Performance Indicators</w:t>
      </w:r>
    </w:p>
    <w:p>
      <w:pPr>
        <w:pStyle w:val="FirstParagraph"/>
      </w:pPr>
      <w:r>
        <w:t xml:space="preserve">The</w:t>
      </w:r>
      <w:r>
        <w:t xml:space="preserve"> </w:t>
      </w:r>
      <w:r>
        <w:t xml:space="preserve">Social Worker</w:t>
      </w:r>
      <w:r>
        <w:t xml:space="preserve"> </w:t>
      </w:r>
      <w:r>
        <w:t xml:space="preserve">engaged under this</w:t>
      </w:r>
      <w:r>
        <w:t xml:space="preserve"> </w:t>
      </w:r>
      <w:r>
        <w:t xml:space="preserve">Quotation Estimate</w:t>
      </w:r>
      <w:r>
        <w:t xml:space="preserve"> </w:t>
      </w:r>
      <w:r>
        <w:t xml:space="preserve">shall deliver the following measurable outcomes within the</w:t>
      </w:r>
      <w:r>
        <w:t xml:space="preserve"> </w:t>
      </w:r>
      <w:r>
        <w:t xml:space="preserve">Uzbekistan Tashkent</w:t>
      </w:r>
      <w:r>
        <w:t xml:space="preserve"> </w:t>
      </w:r>
      <w:r>
        <w:t xml:space="preserve">service area over the twelve-month contract period:</w:t>
      </w:r>
    </w:p>
    <w:p>
      <w:pPr>
        <w:numPr>
          <w:ilvl w:val="0"/>
          <w:numId w:val="1001"/>
        </w:numPr>
        <w:pStyle w:val="Compact"/>
      </w:pPr>
      <w:r>
        <w:t xml:space="preserve">Direct case management for a minimum of 150 vulnerable individuals and families per year, including orphans, elderly persons, persons with disabilities, and at-risk youth.</w:t>
      </w:r>
    </w:p>
    <w:p>
      <w:pPr>
        <w:numPr>
          <w:ilvl w:val="0"/>
          <w:numId w:val="1001"/>
        </w:numPr>
        <w:pStyle w:val="Compact"/>
      </w:pPr>
      <w:r>
        <w:t xml:space="preserve">Conduct no fewer than 24 community outreach sessions across all 12 districts of Tashkent city, in coordination with local mahalla (neighborhood) committees.</w:t>
      </w:r>
    </w:p>
    <w:p>
      <w:pPr>
        <w:numPr>
          <w:ilvl w:val="0"/>
          <w:numId w:val="1001"/>
        </w:numPr>
        <w:pStyle w:val="Compact"/>
      </w:pPr>
      <w:r>
        <w:t xml:space="preserve">Prepare and submit monthly activity reports, quarterly impact assessments, and an annual comprehensive report to the Ministry of Labor, Employment and Social Protection.</w:t>
      </w:r>
    </w:p>
    <w:p>
      <w:pPr>
        <w:numPr>
          <w:ilvl w:val="0"/>
          <w:numId w:val="1001"/>
        </w:numPr>
        <w:pStyle w:val="Compact"/>
      </w:pPr>
      <w:r>
        <w:t xml:space="preserve">Coordinate inter-agency referrals with Tashkent city health clinics, schools, and law enforcement as required by Uzbekistan's social protection legislation.</w:t>
      </w:r>
    </w:p>
    <w:p>
      <w:pPr>
        <w:numPr>
          <w:ilvl w:val="0"/>
          <w:numId w:val="1001"/>
        </w:numPr>
        <w:pStyle w:val="Compact"/>
      </w:pPr>
      <w:r>
        <w:t xml:space="preserve">Participate in at least two inter-departmental training workshops per quarter to maintain competency in evidence-based social work practice.</w:t>
      </w:r>
    </w:p>
    <w:bookmarkEnd w:id="23"/>
    <w:bookmarkStart w:id="24" w:name="terms-and-conditions"/>
    <w:p>
      <w:pPr>
        <w:pStyle w:val="Heading2"/>
      </w:pPr>
      <w:r>
        <w:t xml:space="preserve">4. Terms and Conditions</w:t>
      </w:r>
    </w:p>
    <w:p>
      <w:pPr>
        <w:numPr>
          <w:ilvl w:val="0"/>
          <w:numId w:val="1002"/>
        </w:numPr>
        <w:pStyle w:val="Compact"/>
      </w:pPr>
      <w:r>
        <w:rPr>
          <w:bCs/>
          <w:b/>
        </w:rPr>
        <w:t xml:space="preserve">Validity:</w:t>
      </w:r>
      <w:r>
        <w:t xml:space="preserve"> </w:t>
      </w:r>
      <w:r>
        <w:t xml:space="preserve">This Quotation Estimate is valid for thirty (30) calendar days from the date of issue. Any acceptance beyond this period requires re-issuance and may be subject to revised pricing.</w:t>
      </w:r>
    </w:p>
    <w:p>
      <w:pPr>
        <w:numPr>
          <w:ilvl w:val="0"/>
          <w:numId w:val="1002"/>
        </w:numPr>
        <w:pStyle w:val="Compact"/>
      </w:pPr>
      <w:r>
        <w:rPr>
          <w:bCs/>
          <w:b/>
        </w:rPr>
        <w:t xml:space="preserve">Payment Terms:</w:t>
      </w:r>
      <w:r>
        <w:t xml:space="preserve"> </w:t>
      </w:r>
      <w:r>
        <w:t xml:space="preserve">Payment shall be made in quarterly installments (25% per quarter) within fifteen (15) business days of invoice submission. All payments shall be processed in Uzbekistan Som (UZS) via bank transfer to the TSSA account at the National Bank of the Republic of Uzbekistan.</w:t>
      </w:r>
    </w:p>
    <w:p>
      <w:pPr>
        <w:numPr>
          <w:ilvl w:val="0"/>
          <w:numId w:val="1002"/>
        </w:numPr>
        <w:pStyle w:val="Compact"/>
      </w:pPr>
      <w:r>
        <w:rPr>
          <w:bCs/>
          <w:b/>
        </w:rPr>
        <w:t xml:space="preserve">Taxation:</w:t>
      </w:r>
      <w:r>
        <w:t xml:space="preserve"> </w:t>
      </w:r>
      <w:r>
        <w:t xml:space="preserve">All amounts stated in this Quotation Estimate are inclusive of applicable Value Added Tax (VAT) at the current rate of 12% as per the Tax Code of the Republic of Uzbekistan.</w:t>
      </w:r>
    </w:p>
    <w:p>
      <w:pPr>
        <w:numPr>
          <w:ilvl w:val="0"/>
          <w:numId w:val="1002"/>
        </w:numPr>
        <w:pStyle w:val="Compact"/>
      </w:pPr>
      <w:r>
        <w:rPr>
          <w:bCs/>
          <w:b/>
        </w:rPr>
        <w:t xml:space="preserve">Contract Duration:</w:t>
      </w:r>
      <w:r>
        <w:t xml:space="preserve"> </w:t>
      </w:r>
      <w:r>
        <w:t xml:space="preserve">The engagement of the Social Worker is for an initial period of twelve (12) months, renewable upon mutual written agreement and satisfactory performance review.</w:t>
      </w:r>
    </w:p>
    <w:p>
      <w:pPr>
        <w:numPr>
          <w:ilvl w:val="0"/>
          <w:numId w:val="1002"/>
        </w:numPr>
        <w:pStyle w:val="Compact"/>
      </w:pPr>
      <w:r>
        <w:rPr>
          <w:bCs/>
          <w:b/>
        </w:rPr>
        <w:t xml:space="preserve">Termination:</w:t>
      </w:r>
      <w:r>
        <w:t xml:space="preserve"> </w:t>
      </w:r>
      <w:r>
        <w:t xml:space="preserve">Either party may terminate the contract with sixty (60) days' written notice. In the event of early termination, a pro-rata adjustment to the Quotation Estimate totals shall apply.</w:t>
      </w:r>
    </w:p>
    <w:p>
      <w:pPr>
        <w:numPr>
          <w:ilvl w:val="0"/>
          <w:numId w:val="1002"/>
        </w:numPr>
        <w:pStyle w:val="Compact"/>
      </w:pPr>
      <w:r>
        <w:rPr>
          <w:bCs/>
          <w:b/>
        </w:rPr>
        <w:t xml:space="preserve">Confidentiality:</w:t>
      </w:r>
      <w:r>
        <w:t xml:space="preserve"> </w:t>
      </w:r>
      <w:r>
        <w:t xml:space="preserve">The Social Worker shall adhere strictly to the confidentiality provisions of Uzbekistan's Law on Personal Data Protection and all client records shall be stored in compliance with national data security standards.</w:t>
      </w:r>
    </w:p>
    <w:p>
      <w:pPr>
        <w:numPr>
          <w:ilvl w:val="0"/>
          <w:numId w:val="1002"/>
        </w:numPr>
        <w:pStyle w:val="Compact"/>
      </w:pPr>
      <w:r>
        <w:rPr>
          <w:bCs/>
          <w:b/>
        </w:rPr>
        <w:t xml:space="preserve">Governing Law:</w:t>
      </w:r>
      <w:r>
        <w:t xml:space="preserve"> </w:t>
      </w:r>
      <w:r>
        <w:t xml:space="preserve">This Quotation Estimate and any resulting contract shall be governed by and interpreted in accordance with the laws of the Republic of Uzbekistan. Disputes shall be resolved through the competent courts of Tashkent city.</w:t>
      </w:r>
    </w:p>
    <w:bookmarkEnd w:id="24"/>
    <w:bookmarkStart w:id="25" w:name="acceptance-and-authorization"/>
    <w:p>
      <w:pPr>
        <w:pStyle w:val="Heading2"/>
      </w:pPr>
      <w:r>
        <w:t xml:space="preserve">5. Acceptance and Authorization</w:t>
      </w:r>
    </w:p>
    <w:p>
      <w:pPr>
        <w:pStyle w:val="FirstParagraph"/>
      </w:pPr>
      <w:r>
        <w:t xml:space="preserve">By signing below, the requesting authority acknowledges receipt of this</w:t>
      </w:r>
      <w:r>
        <w:t xml:space="preserve"> </w:t>
      </w:r>
      <w:r>
        <w:t xml:space="preserve">Quotation Estimate</w:t>
      </w:r>
      <w:r>
        <w:t xml:space="preserve"> </w:t>
      </w:r>
      <w:r>
        <w:t xml:space="preserve">for</w:t>
      </w:r>
      <w:r>
        <w:t xml:space="preserve"> </w:t>
      </w:r>
      <w:r>
        <w:t xml:space="preserve">Social Worker</w:t>
      </w:r>
      <w:r>
        <w:t xml:space="preserve"> </w:t>
      </w:r>
      <w:r>
        <w:t xml:space="preserve">services in</w:t>
      </w:r>
      <w:r>
        <w:t xml:space="preserve"> </w:t>
      </w:r>
      <w:r>
        <w:t xml:space="preserve">Uzbekistan Tashkent</w:t>
      </w:r>
      <w:r>
        <w:t xml:space="preserve"> </w:t>
      </w:r>
      <w:r>
        <w:t xml:space="preserve">and agrees to the terms, conditions, and financial obligations outlined herein. This signature constitutes formal acceptance and authorizes TSSA to proceed with the recruitment and deployment of the Social Worker as described.</w:t>
      </w:r>
    </w:p>
    <w:p>
      <w:pPr>
        <w:pStyle w:val="BodyText"/>
      </w:pPr>
      <w:r>
        <w:rPr>
          <w:bCs/>
          <w:b/>
        </w:rPr>
        <w:t xml:space="preserve">For Tashkent Social Services Agency (TSSA)</w:t>
      </w:r>
      <w:r>
        <w:br/>
      </w:r>
      <w:r>
        <w:t xml:space="preserve">Name: Dilnoza Karimova</w:t>
      </w:r>
      <w:r>
        <w:br/>
      </w:r>
      <w:r>
        <w:t xml:space="preserve">Title: Director General</w:t>
      </w:r>
      <w:r>
        <w:br/>
      </w:r>
      <w:r>
        <w:t xml:space="preserve">Date: _______________</w:t>
      </w:r>
    </w:p>
    <w:p>
      <w:pPr>
        <w:pStyle w:val="BodyText"/>
      </w:pPr>
      <w:r>
        <w:rPr>
          <w:bCs/>
          <w:b/>
        </w:rPr>
        <w:t xml:space="preserve">For the Requesting Authority</w:t>
      </w:r>
      <w:r>
        <w:br/>
      </w:r>
      <w:r>
        <w:t xml:space="preserve">Name: _________________________</w:t>
      </w:r>
      <w:r>
        <w:br/>
      </w:r>
      <w:r>
        <w:t xml:space="preserve">Title: _________________________</w:t>
      </w:r>
      <w:r>
        <w:br/>
      </w:r>
      <w:r>
        <w:t xml:space="preserve">Date: _______________</w:t>
      </w:r>
    </w:p>
    <w:p>
      <w:pPr>
        <w:pStyle w:val="BodyText"/>
      </w:pPr>
      <w:r>
        <w:t xml:space="preserve">This Quotation Estimate document QE-TSK-2025-0347 is issued exclusively for the procurement of Social Worker services in Uzbekistan Tashkent. Unauthorized reproduction or distribution is prohibited. © 2025 Tashkent Social Services Agency.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Social Worker Services - Uzbekistan Tashkent</dc:title>
  <dc:creator/>
  <dc:language>en</dc:language>
  <cp:keywords/>
  <dcterms:created xsi:type="dcterms:W3CDTF">2026-10-10T04:12:46Z</dcterms:created>
  <dcterms:modified xsi:type="dcterms:W3CDTF">2026-10-10T04:12:46Z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